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1C2" w:rsidRDefault="00D741C2" w:rsidP="00D741C2">
      <w:pPr>
        <w:pStyle w:val="NormalWeb"/>
        <w:jc w:val="center"/>
        <w:rPr>
          <w:rFonts w:ascii="Verdana" w:hAnsi="Verdana" w:cs="Tahoma"/>
          <w:spacing w:val="28"/>
          <w:w w:val="120"/>
          <w:sz w:val="32"/>
          <w:lang w:val="en-US"/>
        </w:rPr>
      </w:pPr>
    </w:p>
    <w:p w:rsidR="0027387F" w:rsidRPr="00475F5E" w:rsidRDefault="0027387F" w:rsidP="00D741C2">
      <w:pPr>
        <w:pStyle w:val="NormalWeb"/>
        <w:jc w:val="center"/>
        <w:rPr>
          <w:rFonts w:ascii="Verdana" w:hAnsi="Verdana" w:cs="Tahoma"/>
          <w:spacing w:val="28"/>
          <w:w w:val="120"/>
          <w:sz w:val="32"/>
          <w:lang w:val="en-US"/>
        </w:rPr>
      </w:pPr>
      <w:r w:rsidRPr="00475F5E">
        <w:rPr>
          <w:rFonts w:ascii="Verdana" w:hAnsi="Verdana" w:cs="Tahoma"/>
          <w:spacing w:val="28"/>
          <w:w w:val="120"/>
          <w:sz w:val="32"/>
          <w:lang w:val="en-US"/>
        </w:rPr>
        <w:t>CALL FOR PAPERS</w:t>
      </w:r>
    </w:p>
    <w:p w:rsidR="007667A2" w:rsidRPr="00475F5E" w:rsidRDefault="007667A2" w:rsidP="00D741C2">
      <w:pPr>
        <w:pStyle w:val="NormalWeb"/>
        <w:jc w:val="center"/>
        <w:rPr>
          <w:rFonts w:ascii="Verdana" w:hAnsi="Verdana" w:cs="Tahoma"/>
          <w:spacing w:val="28"/>
          <w:w w:val="120"/>
          <w:sz w:val="20"/>
          <w:lang w:val="en-US"/>
        </w:rPr>
      </w:pPr>
    </w:p>
    <w:p w:rsidR="0027387F" w:rsidRPr="00475F5E" w:rsidRDefault="0027387F" w:rsidP="00933689">
      <w:pPr>
        <w:pStyle w:val="NormalWeb"/>
        <w:spacing w:before="240" w:beforeAutospacing="0" w:after="240" w:afterAutospacing="0"/>
        <w:jc w:val="center"/>
        <w:rPr>
          <w:rFonts w:ascii="Verdana" w:hAnsi="Verdana" w:cs="Tahoma"/>
          <w:lang w:val="en-US"/>
        </w:rPr>
      </w:pPr>
      <w:r w:rsidRPr="00475F5E">
        <w:rPr>
          <w:rFonts w:ascii="Verdana" w:hAnsi="Verdana" w:cs="Tahoma"/>
          <w:lang w:val="en-US"/>
        </w:rPr>
        <w:t xml:space="preserve">EUROPEAN POLITEIA is inviting papers for </w:t>
      </w:r>
      <w:r w:rsidR="00B96546">
        <w:rPr>
          <w:rFonts w:ascii="Verdana" w:hAnsi="Verdana" w:cs="Tahoma"/>
          <w:lang w:val="en-US"/>
        </w:rPr>
        <w:t xml:space="preserve">the next </w:t>
      </w:r>
      <w:r w:rsidRPr="00475F5E">
        <w:rPr>
          <w:rFonts w:ascii="Verdana" w:hAnsi="Verdana" w:cs="Tahoma"/>
          <w:lang w:val="en-US"/>
        </w:rPr>
        <w:t>issue</w:t>
      </w:r>
      <w:r w:rsidR="00B96546">
        <w:rPr>
          <w:rFonts w:ascii="Verdana" w:hAnsi="Verdana" w:cs="Tahoma"/>
          <w:lang w:val="en-US"/>
        </w:rPr>
        <w:t>.</w:t>
      </w:r>
    </w:p>
    <w:p w:rsidR="0027387F" w:rsidRDefault="0027387F" w:rsidP="00933689">
      <w:pPr>
        <w:pStyle w:val="NormalWeb"/>
        <w:spacing w:before="240" w:beforeAutospacing="0" w:after="240" w:afterAutospacing="0"/>
        <w:jc w:val="center"/>
        <w:rPr>
          <w:rFonts w:ascii="Verdana" w:hAnsi="Verdana" w:cs="Tahoma"/>
          <w:lang w:val="en-US"/>
        </w:rPr>
      </w:pPr>
      <w:r w:rsidRPr="00475F5E">
        <w:rPr>
          <w:rFonts w:ascii="Verdana" w:hAnsi="Verdana" w:cs="Tahoma"/>
          <w:lang w:val="en-US"/>
        </w:rPr>
        <w:t>Last date of submission:</w:t>
      </w:r>
      <w:r w:rsidR="00B96546">
        <w:rPr>
          <w:rFonts w:ascii="Verdana" w:hAnsi="Verdana" w:cs="Tahoma"/>
          <w:lang w:val="en-US"/>
        </w:rPr>
        <w:t xml:space="preserve"> 30.04.2019.</w:t>
      </w:r>
    </w:p>
    <w:p w:rsidR="00B96546" w:rsidRPr="00475F5E" w:rsidRDefault="00B96546" w:rsidP="00933689">
      <w:pPr>
        <w:pStyle w:val="NormalWeb"/>
        <w:spacing w:before="240" w:beforeAutospacing="0" w:after="240" w:afterAutospacing="0"/>
        <w:jc w:val="center"/>
        <w:rPr>
          <w:rFonts w:ascii="Verdana" w:hAnsi="Verdana" w:cs="Tahoma"/>
          <w:lang w:val="en-US"/>
        </w:rPr>
      </w:pPr>
      <w:r>
        <w:rPr>
          <w:rFonts w:ascii="Verdana" w:hAnsi="Verdana" w:cs="Tahoma"/>
          <w:lang w:val="en-US"/>
        </w:rPr>
        <w:t>A previous, brief presentation (300 words) of the essay is required.</w:t>
      </w:r>
    </w:p>
    <w:p w:rsidR="0027387F" w:rsidRPr="00475F5E" w:rsidRDefault="005F7764" w:rsidP="0027387F">
      <w:pPr>
        <w:pStyle w:val="NormalWeb"/>
        <w:spacing w:before="240" w:beforeAutospacing="0" w:after="240" w:afterAutospacing="0"/>
        <w:jc w:val="both"/>
        <w:rPr>
          <w:rFonts w:ascii="Verdana" w:hAnsi="Verdana" w:cs="Tahoma"/>
          <w:lang w:val="en-US"/>
        </w:rPr>
      </w:pPr>
      <w:r w:rsidRPr="005F7764">
        <w:rPr>
          <w:rFonts w:ascii="Verdana" w:hAnsi="Verdana" w:cs="Tahoma"/>
          <w:noProof/>
          <w:lang w:val="en-US"/>
        </w:rPr>
        <w:pict>
          <v:rect id="_x0000_i1025" alt="" style="width:439.4pt;height:.05pt;mso-width-percent:0;mso-height-percent:0;mso-width-percent:0;mso-height-percent:0" o:hralign="center" o:hrstd="t" o:hr="t" fillcolor="#a0a0a0" stroked="f"/>
        </w:pict>
      </w:r>
    </w:p>
    <w:p w:rsidR="00933689" w:rsidRPr="004215A9" w:rsidRDefault="00933689" w:rsidP="007257D0">
      <w:pPr>
        <w:pStyle w:val="NormalWeb"/>
        <w:spacing w:before="480" w:beforeAutospacing="0" w:after="240" w:afterAutospacing="0"/>
        <w:jc w:val="center"/>
        <w:rPr>
          <w:rFonts w:ascii="Tahoma" w:hAnsi="Tahoma" w:cs="Tahoma"/>
          <w:b/>
          <w:spacing w:val="38"/>
          <w:sz w:val="22"/>
          <w:szCs w:val="22"/>
          <w:lang w:val="en-US"/>
        </w:rPr>
      </w:pPr>
      <w:r w:rsidRPr="004215A9">
        <w:rPr>
          <w:rFonts w:ascii="Tahoma" w:hAnsi="Tahoma" w:cs="Tahoma"/>
          <w:b/>
          <w:spacing w:val="38"/>
          <w:sz w:val="22"/>
          <w:szCs w:val="22"/>
          <w:lang w:val="en-US"/>
        </w:rPr>
        <w:t>The Journal</w:t>
      </w:r>
    </w:p>
    <w:p w:rsidR="00D741C2" w:rsidRPr="004215A9" w:rsidRDefault="0027387F" w:rsidP="0027387F">
      <w:pPr>
        <w:pStyle w:val="NormalWeb"/>
        <w:spacing w:before="240" w:beforeAutospacing="0" w:after="240" w:afterAutospacing="0"/>
        <w:jc w:val="both"/>
        <w:rPr>
          <w:rFonts w:ascii="Tahoma" w:hAnsi="Tahoma" w:cs="Tahoma"/>
          <w:sz w:val="22"/>
          <w:szCs w:val="22"/>
          <w:lang w:val="en-US"/>
        </w:rPr>
      </w:pPr>
      <w:r w:rsidRPr="004215A9">
        <w:rPr>
          <w:rFonts w:ascii="Tahoma" w:hAnsi="Tahoma" w:cs="Tahoma"/>
          <w:b/>
          <w:spacing w:val="38"/>
          <w:sz w:val="22"/>
          <w:szCs w:val="22"/>
          <w:lang w:val="en-US"/>
        </w:rPr>
        <w:t>European Politeia</w:t>
      </w:r>
      <w:r w:rsidRPr="004215A9">
        <w:rPr>
          <w:rFonts w:ascii="Tahoma" w:hAnsi="Tahoma" w:cs="Tahoma"/>
          <w:sz w:val="22"/>
          <w:szCs w:val="22"/>
          <w:lang w:val="en-US"/>
        </w:rPr>
        <w:t xml:space="preserve"> is a bi-annual journal of European law, public affairs and society published by the European Public Law Organization under the scientific supervision of the Greek Center of European Studies and Research (EKEME) of the EPLO. </w:t>
      </w:r>
    </w:p>
    <w:p w:rsidR="0027387F" w:rsidRPr="004215A9" w:rsidRDefault="0027387F" w:rsidP="0027387F">
      <w:pPr>
        <w:pStyle w:val="NormalWeb"/>
        <w:spacing w:before="240" w:beforeAutospacing="0" w:after="240" w:afterAutospacing="0"/>
        <w:jc w:val="both"/>
        <w:rPr>
          <w:rFonts w:ascii="Tahoma" w:hAnsi="Tahoma" w:cs="Tahoma"/>
          <w:sz w:val="22"/>
          <w:szCs w:val="22"/>
          <w:lang w:val="en-US"/>
        </w:rPr>
      </w:pPr>
      <w:r w:rsidRPr="004215A9">
        <w:rPr>
          <w:rFonts w:ascii="Tahoma" w:hAnsi="Tahoma" w:cs="Tahoma"/>
          <w:sz w:val="22"/>
          <w:szCs w:val="22"/>
          <w:lang w:val="en-US"/>
        </w:rPr>
        <w:t>The aim of this publication is to provide an additional forum for the ongoing debates on a broad range of issues and particularly those that transcend individual countries. It will hopefully make relevant voices from the South of Europe more accessible to a broader audience. It will be a rewarding exercise to draw from the expertise of many scholars from Greece and other countries. The publication will be open to various theoretical and political perspectives that spring from different experiences and methodological traditions. We do not intend to narrow the frame of the debates.</w:t>
      </w:r>
    </w:p>
    <w:p w:rsidR="00F23F3B" w:rsidRPr="004215A9" w:rsidRDefault="00933689" w:rsidP="007257D0">
      <w:pPr>
        <w:pStyle w:val="NormalWeb"/>
        <w:spacing w:before="480" w:beforeAutospacing="0" w:after="240" w:afterAutospacing="0"/>
        <w:jc w:val="center"/>
        <w:rPr>
          <w:rFonts w:ascii="Tahoma" w:hAnsi="Tahoma" w:cs="Tahoma"/>
          <w:b/>
          <w:spacing w:val="38"/>
          <w:sz w:val="22"/>
          <w:szCs w:val="22"/>
          <w:lang w:val="en-US"/>
        </w:rPr>
      </w:pPr>
      <w:r w:rsidRPr="004215A9">
        <w:rPr>
          <w:rFonts w:ascii="Tahoma" w:hAnsi="Tahoma" w:cs="Tahoma"/>
          <w:b/>
          <w:spacing w:val="38"/>
          <w:sz w:val="22"/>
          <w:szCs w:val="22"/>
          <w:lang w:val="en-US"/>
        </w:rPr>
        <w:t>The Publisher</w:t>
      </w:r>
    </w:p>
    <w:p w:rsidR="00933689" w:rsidRPr="004215A9" w:rsidRDefault="00933689" w:rsidP="00933689">
      <w:pPr>
        <w:pStyle w:val="NormalWeb"/>
        <w:spacing w:before="240" w:beforeAutospacing="0" w:after="240" w:afterAutospacing="0"/>
        <w:jc w:val="both"/>
        <w:rPr>
          <w:rFonts w:ascii="Tahoma" w:hAnsi="Tahoma" w:cs="Tahoma"/>
          <w:sz w:val="22"/>
          <w:szCs w:val="22"/>
          <w:lang w:val="en-US"/>
        </w:rPr>
      </w:pPr>
      <w:r w:rsidRPr="004215A9">
        <w:rPr>
          <w:rFonts w:ascii="Tahoma" w:hAnsi="Tahoma" w:cs="Tahoma"/>
          <w:b/>
          <w:spacing w:val="38"/>
          <w:sz w:val="22"/>
          <w:szCs w:val="22"/>
          <w:lang w:val="en-US"/>
        </w:rPr>
        <w:t xml:space="preserve">The European Public Law Organization (EPLO) </w:t>
      </w:r>
      <w:r w:rsidRPr="004215A9">
        <w:rPr>
          <w:rFonts w:ascii="Tahoma" w:hAnsi="Tahoma" w:cs="Tahoma"/>
          <w:sz w:val="22"/>
          <w:szCs w:val="22"/>
          <w:lang w:val="en-US"/>
        </w:rPr>
        <w:t xml:space="preserve">is an international organization dedicated to the creation and dissemination of knowledge in the area of Public Law </w:t>
      </w:r>
      <w:r w:rsidRPr="004215A9">
        <w:rPr>
          <w:rFonts w:ascii="Tahoma" w:hAnsi="Tahoma" w:cs="Tahoma"/>
          <w:i/>
          <w:sz w:val="22"/>
          <w:szCs w:val="22"/>
          <w:lang w:val="en-US"/>
        </w:rPr>
        <w:t>latosensu</w:t>
      </w:r>
      <w:r w:rsidRPr="004215A9">
        <w:rPr>
          <w:rFonts w:ascii="Tahoma" w:hAnsi="Tahoma" w:cs="Tahoma"/>
          <w:sz w:val="22"/>
          <w:szCs w:val="22"/>
          <w:lang w:val="en-US"/>
        </w:rPr>
        <w:t xml:space="preserve"> and Governance, including but not limited to, </w:t>
      </w:r>
      <w:r w:rsidRPr="004215A9">
        <w:rPr>
          <w:rFonts w:ascii="Tahoma" w:hAnsi="Tahoma" w:cs="Tahoma"/>
          <w:i/>
          <w:sz w:val="22"/>
          <w:szCs w:val="22"/>
          <w:lang w:val="en-US"/>
        </w:rPr>
        <w:t>inter alia</w:t>
      </w:r>
      <w:r w:rsidRPr="004215A9">
        <w:rPr>
          <w:rFonts w:ascii="Tahoma" w:hAnsi="Tahoma" w:cs="Tahoma"/>
          <w:sz w:val="22"/>
          <w:szCs w:val="22"/>
          <w:lang w:val="en-US"/>
        </w:rPr>
        <w:t>, national, comparative and European public law, human rights law and environmental law and the promotion of European values for a better generation of lawyers and democratic institutions worldwide. The EPLO was established in 2007 in Athens, Greece, as the continuation of the European Public Law Center (EPLC), a non-profit institution of international character, established in 1995 under the Law of the Hellenic Republic. To this date, it has developed, organized, promoted and supported close to 200 educational, research, training, institution building and other activities and has provided assistance to democratic institutions in more than 70 countries. In order to accomplish its purposes, the EPLO promotes the cooperation with other institutions, organizations and bodies, in particular organizations in the United Nations system.</w:t>
      </w:r>
    </w:p>
    <w:p w:rsidR="0027387F" w:rsidRPr="004215A9" w:rsidRDefault="00933689" w:rsidP="007667A2">
      <w:pPr>
        <w:spacing w:before="480" w:after="240"/>
        <w:jc w:val="center"/>
        <w:rPr>
          <w:rFonts w:ascii="Tahoma" w:hAnsi="Tahoma" w:cs="Tahoma"/>
          <w:sz w:val="22"/>
          <w:szCs w:val="22"/>
        </w:rPr>
      </w:pP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t>___________</w:t>
      </w:r>
    </w:p>
    <w:p w:rsidR="007257D0" w:rsidRPr="004215A9" w:rsidRDefault="007257D0" w:rsidP="00F23F3B">
      <w:pPr>
        <w:rPr>
          <w:rFonts w:ascii="Tahoma" w:hAnsi="Tahoma" w:cs="Tahoma"/>
          <w:sz w:val="22"/>
          <w:szCs w:val="22"/>
        </w:rPr>
      </w:pPr>
    </w:p>
    <w:p w:rsidR="00D741C2" w:rsidRPr="004215A9" w:rsidRDefault="00D741C2">
      <w:pPr>
        <w:rPr>
          <w:rFonts w:ascii="Tahoma" w:hAnsi="Tahoma" w:cs="Tahoma"/>
          <w:sz w:val="22"/>
          <w:szCs w:val="22"/>
        </w:rPr>
      </w:pPr>
    </w:p>
    <w:p w:rsidR="00F23F3B" w:rsidRPr="00A5380C" w:rsidRDefault="00731DA1" w:rsidP="00F23F3B">
      <w:pPr>
        <w:rPr>
          <w:rFonts w:ascii="Tahoma" w:hAnsi="Tahoma" w:cs="Tahoma"/>
          <w:sz w:val="22"/>
          <w:szCs w:val="22"/>
        </w:rPr>
      </w:pPr>
      <w:r w:rsidRPr="00A5380C">
        <w:rPr>
          <w:rFonts w:ascii="Tahoma" w:hAnsi="Tahoma" w:cs="Tahoma"/>
          <w:sz w:val="22"/>
          <w:szCs w:val="22"/>
        </w:rPr>
        <w:t>EUROPEAN POLITEIA</w:t>
      </w:r>
    </w:p>
    <w:p w:rsidR="002A0556" w:rsidRPr="00A5380C" w:rsidRDefault="002A0556" w:rsidP="00F23F3B">
      <w:pPr>
        <w:rPr>
          <w:rFonts w:ascii="Tahoma" w:hAnsi="Tahoma" w:cs="Tahoma"/>
          <w:sz w:val="22"/>
          <w:szCs w:val="22"/>
        </w:rPr>
      </w:pPr>
      <w:r w:rsidRPr="00A5380C">
        <w:rPr>
          <w:rFonts w:ascii="Tahoma" w:hAnsi="Tahoma" w:cs="Tahoma"/>
          <w:sz w:val="22"/>
          <w:szCs w:val="22"/>
        </w:rPr>
        <w:t xml:space="preserve">ISSN </w:t>
      </w:r>
    </w:p>
    <w:p w:rsidR="00F23F3B" w:rsidRPr="00A5380C" w:rsidRDefault="00F23F3B" w:rsidP="00A8153C">
      <w:pPr>
        <w:jc w:val="right"/>
        <w:rPr>
          <w:rFonts w:ascii="Tahoma" w:hAnsi="Tahoma" w:cs="Tahoma"/>
          <w:sz w:val="22"/>
          <w:szCs w:val="22"/>
        </w:rPr>
      </w:pPr>
    </w:p>
    <w:p w:rsidR="00A8153C" w:rsidRPr="00A5380C" w:rsidRDefault="00A8153C" w:rsidP="009D023E">
      <w:pPr>
        <w:jc w:val="center"/>
        <w:rPr>
          <w:rFonts w:ascii="Tahoma" w:hAnsi="Tahoma" w:cs="Tahoma"/>
          <w:b/>
          <w:sz w:val="22"/>
          <w:szCs w:val="22"/>
        </w:rPr>
      </w:pPr>
    </w:p>
    <w:p w:rsidR="00731DA1" w:rsidRPr="00A5380C" w:rsidRDefault="00731DA1" w:rsidP="00731DA1">
      <w:pPr>
        <w:rPr>
          <w:rFonts w:ascii="Tahoma" w:hAnsi="Tahoma" w:cs="Tahoma"/>
          <w:b/>
          <w:sz w:val="22"/>
          <w:szCs w:val="22"/>
        </w:rPr>
      </w:pPr>
      <w:r w:rsidRPr="00A5380C">
        <w:rPr>
          <w:rFonts w:ascii="Tahoma" w:hAnsi="Tahoma" w:cs="Tahoma"/>
          <w:b/>
          <w:sz w:val="22"/>
          <w:szCs w:val="22"/>
        </w:rPr>
        <w:t>The Balkans in</w:t>
      </w:r>
      <w:r w:rsidR="00790474" w:rsidRPr="00A5380C">
        <w:rPr>
          <w:rFonts w:ascii="Tahoma" w:hAnsi="Tahoma" w:cs="Tahoma"/>
          <w:b/>
          <w:sz w:val="22"/>
          <w:szCs w:val="22"/>
        </w:rPr>
        <w:t>to</w:t>
      </w:r>
      <w:r w:rsidRPr="00A5380C">
        <w:rPr>
          <w:rFonts w:ascii="Tahoma" w:hAnsi="Tahoma" w:cs="Tahoma"/>
          <w:b/>
          <w:sz w:val="22"/>
          <w:szCs w:val="22"/>
        </w:rPr>
        <w:t xml:space="preserve"> Europe: A region transformed? </w:t>
      </w:r>
    </w:p>
    <w:p w:rsidR="00731DA1" w:rsidRPr="00A5380C" w:rsidRDefault="00731DA1" w:rsidP="00731DA1">
      <w:pPr>
        <w:rPr>
          <w:rFonts w:ascii="Tahoma" w:hAnsi="Tahoma" w:cs="Tahoma"/>
          <w:sz w:val="22"/>
          <w:szCs w:val="22"/>
        </w:rPr>
      </w:pPr>
    </w:p>
    <w:p w:rsidR="00731DA1" w:rsidRPr="00A5380C" w:rsidRDefault="00731DA1" w:rsidP="00731DA1">
      <w:pPr>
        <w:jc w:val="both"/>
        <w:rPr>
          <w:rFonts w:ascii="Tahoma" w:hAnsi="Tahoma" w:cs="Tahoma"/>
          <w:i/>
          <w:sz w:val="22"/>
          <w:szCs w:val="22"/>
        </w:rPr>
      </w:pPr>
      <w:r w:rsidRPr="00A5380C">
        <w:rPr>
          <w:rFonts w:ascii="Tahoma" w:hAnsi="Tahoma" w:cs="Tahoma"/>
          <w:i/>
          <w:sz w:val="22"/>
          <w:szCs w:val="22"/>
        </w:rPr>
        <w:t xml:space="preserve">A culturally diverse </w:t>
      </w:r>
      <w:r w:rsidR="00501A22" w:rsidRPr="00A5380C">
        <w:rPr>
          <w:rFonts w:ascii="Tahoma" w:hAnsi="Tahoma" w:cs="Tahoma"/>
          <w:i/>
          <w:sz w:val="22"/>
          <w:szCs w:val="22"/>
        </w:rPr>
        <w:t>space</w:t>
      </w:r>
      <w:r w:rsidRPr="00A5380C">
        <w:rPr>
          <w:rFonts w:ascii="Tahoma" w:hAnsi="Tahoma" w:cs="Tahoma"/>
          <w:i/>
          <w:sz w:val="22"/>
          <w:szCs w:val="22"/>
        </w:rPr>
        <w:t xml:space="preserve"> of human symbiosis and, many a time, of discord, the Balkans have always </w:t>
      </w:r>
      <w:r w:rsidR="00D80ECC" w:rsidRPr="00A5380C">
        <w:rPr>
          <w:rFonts w:ascii="Tahoma" w:hAnsi="Tahoma" w:cs="Tahoma"/>
          <w:i/>
          <w:sz w:val="22"/>
          <w:szCs w:val="22"/>
        </w:rPr>
        <w:t xml:space="preserve">attracted </w:t>
      </w:r>
      <w:r w:rsidRPr="00A5380C">
        <w:rPr>
          <w:rFonts w:ascii="Tahoma" w:hAnsi="Tahoma" w:cs="Tahoma"/>
          <w:i/>
          <w:sz w:val="22"/>
          <w:szCs w:val="22"/>
        </w:rPr>
        <w:t xml:space="preserve">the attention of politics and international relations scholars. Over the last thirty years, since the fall of the Berlin Wall, the region has experienced the winds of change, </w:t>
      </w:r>
      <w:r w:rsidR="00501A22" w:rsidRPr="00A5380C">
        <w:rPr>
          <w:rFonts w:ascii="Tahoma" w:hAnsi="Tahoma" w:cs="Tahoma"/>
          <w:i/>
          <w:sz w:val="22"/>
          <w:szCs w:val="22"/>
        </w:rPr>
        <w:t>even</w:t>
      </w:r>
      <w:r w:rsidRPr="00A5380C">
        <w:rPr>
          <w:rFonts w:ascii="Tahoma" w:hAnsi="Tahoma" w:cs="Tahoma"/>
          <w:i/>
          <w:sz w:val="22"/>
          <w:szCs w:val="22"/>
        </w:rPr>
        <w:t xml:space="preserve"> transformation. Composed of diverse </w:t>
      </w:r>
      <w:r w:rsidR="00501A22" w:rsidRPr="00A5380C">
        <w:rPr>
          <w:rFonts w:ascii="Tahoma" w:hAnsi="Tahoma" w:cs="Tahoma"/>
          <w:i/>
          <w:sz w:val="22"/>
          <w:szCs w:val="22"/>
        </w:rPr>
        <w:t>states and publics which share</w:t>
      </w:r>
      <w:r w:rsidRPr="00A5380C">
        <w:rPr>
          <w:rFonts w:ascii="Tahoma" w:hAnsi="Tahoma" w:cs="Tahoma"/>
          <w:i/>
          <w:sz w:val="22"/>
          <w:szCs w:val="22"/>
        </w:rPr>
        <w:t xml:space="preserve"> a certain sense of affinity, the Balkans are well in their way to become an integral part of the European integration process; some countries, first Greece, then Bulgaria and Romania, and, </w:t>
      </w:r>
      <w:r w:rsidR="00501A22" w:rsidRPr="00A5380C">
        <w:rPr>
          <w:rFonts w:ascii="Tahoma" w:hAnsi="Tahoma" w:cs="Tahoma"/>
          <w:i/>
          <w:sz w:val="22"/>
          <w:szCs w:val="22"/>
        </w:rPr>
        <w:t>of recent</w:t>
      </w:r>
      <w:r w:rsidRPr="00A5380C">
        <w:rPr>
          <w:rFonts w:ascii="Tahoma" w:hAnsi="Tahoma" w:cs="Tahoma"/>
          <w:i/>
          <w:sz w:val="22"/>
          <w:szCs w:val="22"/>
        </w:rPr>
        <w:t xml:space="preserve">, Croatia, being </w:t>
      </w:r>
      <w:r w:rsidR="00501A22" w:rsidRPr="00A5380C">
        <w:rPr>
          <w:rFonts w:ascii="Tahoma" w:hAnsi="Tahoma" w:cs="Tahoma"/>
          <w:i/>
          <w:sz w:val="22"/>
          <w:szCs w:val="22"/>
        </w:rPr>
        <w:t>full members of</w:t>
      </w:r>
      <w:r w:rsidRPr="00A5380C">
        <w:rPr>
          <w:rFonts w:ascii="Tahoma" w:hAnsi="Tahoma" w:cs="Tahoma"/>
          <w:i/>
          <w:sz w:val="22"/>
          <w:szCs w:val="22"/>
        </w:rPr>
        <w:t xml:space="preserve"> the European Union; others, with varying forms and degrees of status or progress,be</w:t>
      </w:r>
      <w:r w:rsidR="00501A22" w:rsidRPr="00A5380C">
        <w:rPr>
          <w:rFonts w:ascii="Tahoma" w:hAnsi="Tahoma" w:cs="Tahoma"/>
          <w:i/>
          <w:sz w:val="22"/>
          <w:szCs w:val="22"/>
        </w:rPr>
        <w:t xml:space="preserve">ing </w:t>
      </w:r>
      <w:r w:rsidRPr="00A5380C">
        <w:rPr>
          <w:rFonts w:ascii="Tahoma" w:hAnsi="Tahoma" w:cs="Tahoma"/>
          <w:i/>
          <w:sz w:val="22"/>
          <w:szCs w:val="22"/>
        </w:rPr>
        <w:t>prospective entries. European Politeia’s spe</w:t>
      </w:r>
      <w:r w:rsidR="00501A22" w:rsidRPr="00A5380C">
        <w:rPr>
          <w:rFonts w:ascii="Tahoma" w:hAnsi="Tahoma" w:cs="Tahoma"/>
          <w:i/>
          <w:sz w:val="22"/>
          <w:szCs w:val="22"/>
        </w:rPr>
        <w:t>cial issue</w:t>
      </w:r>
      <w:r w:rsidRPr="00A5380C">
        <w:rPr>
          <w:rFonts w:ascii="Tahoma" w:hAnsi="Tahoma" w:cs="Tahoma"/>
          <w:i/>
          <w:sz w:val="22"/>
          <w:szCs w:val="22"/>
        </w:rPr>
        <w:t xml:space="preserve"> aims to re-evaluate the structures and dynamics of the Balkans’ integration into Europe’s ev</w:t>
      </w:r>
      <w:r w:rsidR="00501A22" w:rsidRPr="00A5380C">
        <w:rPr>
          <w:rFonts w:ascii="Tahoma" w:hAnsi="Tahoma" w:cs="Tahoma"/>
          <w:i/>
          <w:sz w:val="22"/>
          <w:szCs w:val="22"/>
        </w:rPr>
        <w:t xml:space="preserve">olving polity-building process; </w:t>
      </w:r>
      <w:r w:rsidR="00921CD3" w:rsidRPr="00A5380C">
        <w:rPr>
          <w:rFonts w:ascii="Tahoma" w:hAnsi="Tahoma" w:cs="Tahoma"/>
          <w:i/>
          <w:sz w:val="22"/>
          <w:szCs w:val="22"/>
        </w:rPr>
        <w:t xml:space="preserve">their claims, aspirations, </w:t>
      </w:r>
      <w:r w:rsidRPr="00A5380C">
        <w:rPr>
          <w:rFonts w:ascii="Tahoma" w:hAnsi="Tahoma" w:cs="Tahoma"/>
          <w:i/>
          <w:sz w:val="22"/>
          <w:szCs w:val="22"/>
        </w:rPr>
        <w:t xml:space="preserve">antinomies, dialectics, expectations, preferences, dilemmas and, crucially, </w:t>
      </w:r>
      <w:r w:rsidR="00501A22" w:rsidRPr="00A5380C">
        <w:rPr>
          <w:rFonts w:ascii="Tahoma" w:hAnsi="Tahoma" w:cs="Tahoma"/>
          <w:i/>
          <w:sz w:val="22"/>
          <w:szCs w:val="22"/>
        </w:rPr>
        <w:t xml:space="preserve">convergence </w:t>
      </w:r>
      <w:r w:rsidRPr="00A5380C">
        <w:rPr>
          <w:rFonts w:ascii="Tahoma" w:hAnsi="Tahoma" w:cs="Tahoma"/>
          <w:i/>
          <w:sz w:val="22"/>
          <w:szCs w:val="22"/>
        </w:rPr>
        <w:t xml:space="preserve">to collective </w:t>
      </w:r>
      <w:r w:rsidR="00921CD3" w:rsidRPr="00A5380C">
        <w:rPr>
          <w:rFonts w:ascii="Tahoma" w:hAnsi="Tahoma" w:cs="Tahoma"/>
          <w:i/>
          <w:sz w:val="22"/>
          <w:szCs w:val="22"/>
        </w:rPr>
        <w:t>European</w:t>
      </w:r>
      <w:r w:rsidRPr="00A5380C">
        <w:rPr>
          <w:rFonts w:ascii="Tahoma" w:hAnsi="Tahoma" w:cs="Tahoma"/>
          <w:i/>
          <w:sz w:val="22"/>
          <w:szCs w:val="22"/>
        </w:rPr>
        <w:t xml:space="preserve"> standards. Thirty years since Europe’</w:t>
      </w:r>
      <w:r w:rsidR="00501A22" w:rsidRPr="00A5380C">
        <w:rPr>
          <w:rFonts w:ascii="Tahoma" w:hAnsi="Tahoma" w:cs="Tahoma"/>
          <w:i/>
          <w:sz w:val="22"/>
          <w:szCs w:val="22"/>
        </w:rPr>
        <w:t xml:space="preserve">s </w:t>
      </w:r>
      <w:r w:rsidRPr="00A5380C">
        <w:rPr>
          <w:rFonts w:ascii="Tahoma" w:hAnsi="Tahoma" w:cs="Tahoma"/>
          <w:i/>
          <w:sz w:val="22"/>
          <w:szCs w:val="22"/>
        </w:rPr>
        <w:t>political transformation, the special issue</w:t>
      </w:r>
      <w:r w:rsidR="00921CD3" w:rsidRPr="00A5380C">
        <w:rPr>
          <w:rFonts w:ascii="Tahoma" w:hAnsi="Tahoma" w:cs="Tahoma"/>
          <w:i/>
          <w:sz w:val="22"/>
          <w:szCs w:val="22"/>
        </w:rPr>
        <w:t>aims to develop</w:t>
      </w:r>
      <w:r w:rsidRPr="00A5380C">
        <w:rPr>
          <w:rFonts w:ascii="Tahoma" w:hAnsi="Tahoma" w:cs="Tahoma"/>
          <w:i/>
          <w:sz w:val="22"/>
          <w:szCs w:val="22"/>
        </w:rPr>
        <w:t xml:space="preserve"> an interdisci</w:t>
      </w:r>
      <w:r w:rsidR="00501A22" w:rsidRPr="00A5380C">
        <w:rPr>
          <w:rFonts w:ascii="Tahoma" w:hAnsi="Tahoma" w:cs="Tahoma"/>
          <w:i/>
          <w:sz w:val="22"/>
          <w:szCs w:val="22"/>
        </w:rPr>
        <w:t>pli</w:t>
      </w:r>
      <w:r w:rsidR="00921CD3" w:rsidRPr="00A5380C">
        <w:rPr>
          <w:rFonts w:ascii="Tahoma" w:hAnsi="Tahoma" w:cs="Tahoma"/>
          <w:i/>
          <w:sz w:val="22"/>
          <w:szCs w:val="22"/>
        </w:rPr>
        <w:t>nary optic of a region’s</w:t>
      </w:r>
      <w:r w:rsidRPr="00A5380C">
        <w:rPr>
          <w:rFonts w:ascii="Tahoma" w:hAnsi="Tahoma" w:cs="Tahoma"/>
          <w:i/>
          <w:sz w:val="22"/>
          <w:szCs w:val="22"/>
        </w:rPr>
        <w:t xml:space="preserve"> actual or potential transformation</w:t>
      </w:r>
      <w:r w:rsidR="00921CD3" w:rsidRPr="00A5380C">
        <w:rPr>
          <w:rFonts w:ascii="Tahoma" w:hAnsi="Tahoma" w:cs="Tahoma"/>
          <w:i/>
          <w:sz w:val="22"/>
          <w:szCs w:val="22"/>
        </w:rPr>
        <w:t xml:space="preserve"> and to redraw </w:t>
      </w:r>
      <w:r w:rsidRPr="00A5380C">
        <w:rPr>
          <w:rFonts w:ascii="Tahoma" w:hAnsi="Tahoma" w:cs="Tahoma"/>
          <w:i/>
          <w:sz w:val="22"/>
          <w:szCs w:val="22"/>
        </w:rPr>
        <w:t xml:space="preserve">the </w:t>
      </w:r>
      <w:r w:rsidR="00921CD3" w:rsidRPr="00A5380C">
        <w:rPr>
          <w:rFonts w:ascii="Tahoma" w:hAnsi="Tahoma" w:cs="Tahoma"/>
          <w:i/>
          <w:sz w:val="22"/>
          <w:szCs w:val="22"/>
        </w:rPr>
        <w:t>wider image of its</w:t>
      </w:r>
      <w:r w:rsidRPr="00A5380C">
        <w:rPr>
          <w:rFonts w:ascii="Tahoma" w:hAnsi="Tahoma" w:cs="Tahoma"/>
          <w:i/>
          <w:sz w:val="22"/>
          <w:szCs w:val="22"/>
        </w:rPr>
        <w:t xml:space="preserve"> achievements</w:t>
      </w:r>
      <w:r w:rsidR="00921CD3" w:rsidRPr="00A5380C">
        <w:rPr>
          <w:rFonts w:ascii="Tahoma" w:hAnsi="Tahoma" w:cs="Tahoma"/>
          <w:i/>
          <w:sz w:val="22"/>
          <w:szCs w:val="22"/>
        </w:rPr>
        <w:t>and</w:t>
      </w:r>
      <w:r w:rsidR="0055361E" w:rsidRPr="00A5380C">
        <w:rPr>
          <w:rFonts w:ascii="Tahoma" w:hAnsi="Tahoma" w:cs="Tahoma"/>
          <w:i/>
          <w:sz w:val="22"/>
          <w:szCs w:val="22"/>
        </w:rPr>
        <w:t>failures</w:t>
      </w:r>
      <w:r w:rsidR="00921CD3" w:rsidRPr="00A5380C">
        <w:rPr>
          <w:rFonts w:ascii="Tahoma" w:hAnsi="Tahoma" w:cs="Tahoma"/>
          <w:i/>
          <w:sz w:val="22"/>
          <w:szCs w:val="22"/>
        </w:rPr>
        <w:t xml:space="preserve">; its forces of unity and disunity. The aimis </w:t>
      </w:r>
      <w:r w:rsidR="00501A22" w:rsidRPr="00A5380C">
        <w:rPr>
          <w:rFonts w:ascii="Tahoma" w:hAnsi="Tahoma" w:cs="Tahoma"/>
          <w:i/>
          <w:sz w:val="22"/>
          <w:szCs w:val="22"/>
        </w:rPr>
        <w:t>to develop</w:t>
      </w:r>
      <w:r w:rsidRPr="00A5380C">
        <w:rPr>
          <w:rFonts w:ascii="Tahoma" w:hAnsi="Tahoma" w:cs="Tahoma"/>
          <w:i/>
          <w:sz w:val="22"/>
          <w:szCs w:val="22"/>
        </w:rPr>
        <w:t xml:space="preserve">a </w:t>
      </w:r>
      <w:r w:rsidR="00921CD3" w:rsidRPr="00A5380C">
        <w:rPr>
          <w:rFonts w:ascii="Tahoma" w:hAnsi="Tahoma" w:cs="Tahoma"/>
          <w:i/>
          <w:sz w:val="22"/>
          <w:szCs w:val="22"/>
        </w:rPr>
        <w:t>more profound understanding</w:t>
      </w:r>
      <w:r w:rsidR="00893BFA" w:rsidRPr="00A5380C">
        <w:rPr>
          <w:rFonts w:ascii="Tahoma" w:hAnsi="Tahoma" w:cs="Tahoma"/>
          <w:i/>
          <w:sz w:val="22"/>
          <w:szCs w:val="22"/>
        </w:rPr>
        <w:t xml:space="preserve"> of the region</w:t>
      </w:r>
      <w:r w:rsidR="00921CD3" w:rsidRPr="00A5380C">
        <w:rPr>
          <w:rFonts w:ascii="Tahoma" w:hAnsi="Tahoma" w:cs="Tahoma"/>
          <w:i/>
          <w:sz w:val="22"/>
          <w:szCs w:val="22"/>
        </w:rPr>
        <w:t>, by</w:t>
      </w:r>
      <w:r w:rsidR="00501A22" w:rsidRPr="00A5380C">
        <w:rPr>
          <w:rFonts w:ascii="Tahoma" w:hAnsi="Tahoma" w:cs="Tahoma"/>
          <w:i/>
          <w:sz w:val="22"/>
          <w:szCs w:val="22"/>
        </w:rPr>
        <w:t xml:space="preserve"> yield</w:t>
      </w:r>
      <w:r w:rsidR="00921CD3" w:rsidRPr="00A5380C">
        <w:rPr>
          <w:rFonts w:ascii="Tahoma" w:hAnsi="Tahoma" w:cs="Tahoma"/>
          <w:i/>
          <w:sz w:val="22"/>
          <w:szCs w:val="22"/>
        </w:rPr>
        <w:t>ing</w:t>
      </w:r>
      <w:r w:rsidR="0055361E" w:rsidRPr="00A5380C">
        <w:rPr>
          <w:rFonts w:ascii="Tahoma" w:hAnsi="Tahoma" w:cs="Tahoma"/>
          <w:i/>
          <w:sz w:val="22"/>
          <w:szCs w:val="22"/>
        </w:rPr>
        <w:t xml:space="preserve">new </w:t>
      </w:r>
      <w:r w:rsidRPr="00A5380C">
        <w:rPr>
          <w:rFonts w:ascii="Tahoma" w:hAnsi="Tahoma" w:cs="Tahoma"/>
          <w:i/>
          <w:sz w:val="22"/>
          <w:szCs w:val="22"/>
        </w:rPr>
        <w:t>insights without n</w:t>
      </w:r>
      <w:r w:rsidR="00893BFA" w:rsidRPr="00A5380C">
        <w:rPr>
          <w:rFonts w:ascii="Tahoma" w:hAnsi="Tahoma" w:cs="Tahoma"/>
          <w:i/>
          <w:sz w:val="22"/>
          <w:szCs w:val="22"/>
        </w:rPr>
        <w:t xml:space="preserve">eglecting the </w:t>
      </w:r>
      <w:r w:rsidRPr="00A5380C">
        <w:rPr>
          <w:rFonts w:ascii="Tahoma" w:hAnsi="Tahoma" w:cs="Tahoma"/>
          <w:i/>
          <w:sz w:val="22"/>
          <w:szCs w:val="22"/>
        </w:rPr>
        <w:t xml:space="preserve">historical experience </w:t>
      </w:r>
      <w:r w:rsidR="0055361E" w:rsidRPr="00A5380C">
        <w:rPr>
          <w:rFonts w:ascii="Tahoma" w:hAnsi="Tahoma" w:cs="Tahoma"/>
          <w:i/>
          <w:sz w:val="22"/>
          <w:szCs w:val="22"/>
        </w:rPr>
        <w:t>for</w:t>
      </w:r>
      <w:r w:rsidRPr="00A5380C">
        <w:rPr>
          <w:rFonts w:ascii="Tahoma" w:hAnsi="Tahoma" w:cs="Tahoma"/>
          <w:i/>
          <w:sz w:val="22"/>
          <w:szCs w:val="22"/>
        </w:rPr>
        <w:t xml:space="preserve"> a balanced scholarly account.</w:t>
      </w:r>
    </w:p>
    <w:p w:rsidR="00731DA1" w:rsidRPr="00A5380C" w:rsidRDefault="00731DA1" w:rsidP="00731DA1">
      <w:pPr>
        <w:jc w:val="both"/>
        <w:rPr>
          <w:rFonts w:ascii="Tahoma" w:hAnsi="Tahoma" w:cs="Tahoma"/>
          <w:i/>
          <w:sz w:val="22"/>
          <w:szCs w:val="22"/>
        </w:rPr>
      </w:pPr>
    </w:p>
    <w:p w:rsidR="00475F5E" w:rsidRPr="00A5380C" w:rsidRDefault="00475F5E" w:rsidP="00475F5E">
      <w:pPr>
        <w:pStyle w:val="xmsonormal"/>
        <w:shd w:val="clear" w:color="auto" w:fill="FFFFFF"/>
        <w:spacing w:before="0" w:beforeAutospacing="0" w:after="0" w:afterAutospacing="0"/>
        <w:jc w:val="both"/>
        <w:rPr>
          <w:rFonts w:ascii="Tahoma" w:hAnsi="Tahoma" w:cs="Tahoma"/>
          <w:color w:val="000000"/>
          <w:sz w:val="22"/>
          <w:szCs w:val="22"/>
        </w:rPr>
      </w:pPr>
      <w:r w:rsidRPr="00A5380C">
        <w:rPr>
          <w:rFonts w:ascii="Tahoma" w:hAnsi="Tahoma" w:cs="Tahoma"/>
          <w:b/>
          <w:bCs/>
          <w:color w:val="000000"/>
          <w:sz w:val="22"/>
          <w:szCs w:val="22"/>
        </w:rPr>
        <w:t>THEMATICS</w:t>
      </w:r>
    </w:p>
    <w:p w:rsidR="00475F5E" w:rsidRPr="00A5380C" w:rsidRDefault="00475F5E" w:rsidP="00475F5E">
      <w:pPr>
        <w:pStyle w:val="xmsonormal"/>
        <w:shd w:val="clear" w:color="auto" w:fill="FFFFFF"/>
        <w:spacing w:before="0" w:beforeAutospacing="0" w:after="0" w:afterAutospacing="0"/>
        <w:jc w:val="both"/>
        <w:rPr>
          <w:rFonts w:ascii="Tahoma" w:hAnsi="Tahoma" w:cs="Tahoma"/>
          <w:color w:val="000000"/>
          <w:sz w:val="22"/>
          <w:szCs w:val="22"/>
        </w:rPr>
      </w:pPr>
      <w:r w:rsidRPr="00A5380C">
        <w:rPr>
          <w:rFonts w:ascii="Tahoma" w:hAnsi="Tahoma" w:cs="Tahoma"/>
          <w:color w:val="000000"/>
          <w:sz w:val="22"/>
          <w:szCs w:val="22"/>
        </w:rPr>
        <w:t> </w:t>
      </w:r>
    </w:p>
    <w:p w:rsidR="00475F5E" w:rsidRPr="00A5380C" w:rsidRDefault="00475F5E" w:rsidP="00475F5E">
      <w:pPr>
        <w:pStyle w:val="xmsonormal"/>
        <w:numPr>
          <w:ilvl w:val="0"/>
          <w:numId w:val="2"/>
        </w:numPr>
        <w:shd w:val="clear" w:color="auto" w:fill="FFFFFF"/>
        <w:spacing w:before="0" w:beforeAutospacing="0" w:after="0" w:afterAutospacing="0"/>
        <w:jc w:val="both"/>
        <w:rPr>
          <w:rFonts w:ascii="Tahoma" w:hAnsi="Tahoma" w:cs="Tahoma"/>
          <w:color w:val="000000"/>
          <w:sz w:val="22"/>
          <w:szCs w:val="22"/>
        </w:rPr>
      </w:pPr>
      <w:r w:rsidRPr="00A5380C">
        <w:rPr>
          <w:rFonts w:ascii="Tahoma" w:hAnsi="Tahoma" w:cs="Tahoma"/>
          <w:color w:val="000000"/>
          <w:sz w:val="22"/>
          <w:szCs w:val="22"/>
        </w:rPr>
        <w:t xml:space="preserve">What </w:t>
      </w:r>
      <w:r w:rsidR="0055361E" w:rsidRPr="00A5380C">
        <w:rPr>
          <w:rFonts w:ascii="Tahoma" w:hAnsi="Tahoma" w:cs="Tahoma"/>
          <w:color w:val="000000"/>
          <w:sz w:val="22"/>
          <w:szCs w:val="22"/>
        </w:rPr>
        <w:t xml:space="preserve">lessons can be drawn from the Balkan’s contemporary European experience? </w:t>
      </w:r>
    </w:p>
    <w:p w:rsidR="00475F5E" w:rsidRPr="00A5380C" w:rsidRDefault="00475F5E" w:rsidP="00475F5E">
      <w:pPr>
        <w:pStyle w:val="xmsonormal"/>
        <w:numPr>
          <w:ilvl w:val="0"/>
          <w:numId w:val="2"/>
        </w:numPr>
        <w:shd w:val="clear" w:color="auto" w:fill="FFFFFF"/>
        <w:spacing w:before="0" w:beforeAutospacing="0" w:after="0" w:afterAutospacing="0"/>
        <w:jc w:val="both"/>
        <w:rPr>
          <w:rFonts w:ascii="Tahoma" w:hAnsi="Tahoma" w:cs="Tahoma"/>
          <w:color w:val="000000"/>
          <w:sz w:val="22"/>
          <w:szCs w:val="22"/>
        </w:rPr>
      </w:pPr>
      <w:r w:rsidRPr="00A5380C">
        <w:rPr>
          <w:rFonts w:ascii="Tahoma" w:hAnsi="Tahoma" w:cs="Tahoma"/>
          <w:color w:val="000000"/>
          <w:sz w:val="22"/>
          <w:szCs w:val="22"/>
        </w:rPr>
        <w:t xml:space="preserve">Which </w:t>
      </w:r>
      <w:r w:rsidR="0055361E" w:rsidRPr="00A5380C">
        <w:rPr>
          <w:rFonts w:ascii="Tahoma" w:hAnsi="Tahoma" w:cs="Tahoma"/>
          <w:color w:val="000000"/>
          <w:sz w:val="22"/>
          <w:szCs w:val="22"/>
        </w:rPr>
        <w:t xml:space="preserve">legal, political, social or cultural </w:t>
      </w:r>
      <w:r w:rsidRPr="00A5380C">
        <w:rPr>
          <w:rFonts w:ascii="Tahoma" w:hAnsi="Tahoma" w:cs="Tahoma"/>
          <w:color w:val="000000"/>
          <w:sz w:val="22"/>
          <w:szCs w:val="22"/>
        </w:rPr>
        <w:t xml:space="preserve">issues concerning </w:t>
      </w:r>
      <w:r w:rsidR="0055361E" w:rsidRPr="00A5380C">
        <w:rPr>
          <w:rFonts w:ascii="Tahoma" w:hAnsi="Tahoma" w:cs="Tahoma"/>
          <w:color w:val="000000"/>
          <w:sz w:val="22"/>
          <w:szCs w:val="22"/>
        </w:rPr>
        <w:t xml:space="preserve">candidate Balkan </w:t>
      </w:r>
      <w:r w:rsidR="00501A22" w:rsidRPr="00A5380C">
        <w:rPr>
          <w:rFonts w:ascii="Tahoma" w:hAnsi="Tahoma" w:cs="Tahoma"/>
          <w:color w:val="000000"/>
          <w:sz w:val="22"/>
          <w:szCs w:val="22"/>
        </w:rPr>
        <w:t>countries</w:t>
      </w:r>
      <w:r w:rsidR="0055361E" w:rsidRPr="00A5380C">
        <w:rPr>
          <w:rFonts w:ascii="Tahoma" w:hAnsi="Tahoma" w:cs="Tahoma"/>
          <w:color w:val="000000"/>
          <w:sz w:val="22"/>
          <w:szCs w:val="22"/>
        </w:rPr>
        <w:t xml:space="preserve"> arise today in view of their prospective integration into EU structures? </w:t>
      </w:r>
    </w:p>
    <w:p w:rsidR="0055361E" w:rsidRPr="00A5380C" w:rsidRDefault="0055361E" w:rsidP="00F6681B">
      <w:pPr>
        <w:pStyle w:val="xmsonormal"/>
        <w:numPr>
          <w:ilvl w:val="0"/>
          <w:numId w:val="2"/>
        </w:numPr>
        <w:shd w:val="clear" w:color="auto" w:fill="FFFFFF"/>
        <w:spacing w:before="0" w:beforeAutospacing="0" w:after="0" w:afterAutospacing="0"/>
        <w:jc w:val="both"/>
        <w:rPr>
          <w:rFonts w:ascii="Tahoma" w:hAnsi="Tahoma" w:cs="Tahoma"/>
          <w:color w:val="000000"/>
          <w:sz w:val="22"/>
          <w:szCs w:val="22"/>
        </w:rPr>
      </w:pPr>
      <w:r w:rsidRPr="00A5380C">
        <w:rPr>
          <w:rFonts w:ascii="Tahoma" w:hAnsi="Tahoma" w:cs="Tahoma"/>
          <w:color w:val="000000"/>
          <w:sz w:val="22"/>
          <w:szCs w:val="22"/>
        </w:rPr>
        <w:t>Is</w:t>
      </w:r>
      <w:r w:rsidR="00F6681B" w:rsidRPr="00A5380C">
        <w:rPr>
          <w:rFonts w:ascii="Tahoma" w:hAnsi="Tahoma" w:cs="Tahoma"/>
          <w:color w:val="000000"/>
          <w:sz w:val="22"/>
          <w:szCs w:val="22"/>
        </w:rPr>
        <w:t>the current state of integration conducive to further enlargement?</w:t>
      </w:r>
    </w:p>
    <w:p w:rsidR="00475F5E" w:rsidRPr="00A5380C" w:rsidRDefault="00501A22" w:rsidP="00475F5E">
      <w:pPr>
        <w:pStyle w:val="xmsonormal"/>
        <w:numPr>
          <w:ilvl w:val="0"/>
          <w:numId w:val="2"/>
        </w:numPr>
        <w:shd w:val="clear" w:color="auto" w:fill="FFFFFF"/>
        <w:spacing w:before="0" w:beforeAutospacing="0" w:after="0" w:afterAutospacing="0"/>
        <w:jc w:val="both"/>
        <w:rPr>
          <w:rFonts w:ascii="Tahoma" w:hAnsi="Tahoma" w:cs="Tahoma"/>
          <w:color w:val="000000"/>
          <w:sz w:val="22"/>
          <w:szCs w:val="22"/>
        </w:rPr>
      </w:pPr>
      <w:r w:rsidRPr="00A5380C">
        <w:rPr>
          <w:rFonts w:ascii="Tahoma" w:hAnsi="Tahoma" w:cs="Tahoma"/>
          <w:color w:val="000000"/>
          <w:sz w:val="22"/>
          <w:szCs w:val="22"/>
        </w:rPr>
        <w:t>How effective is EU</w:t>
      </w:r>
      <w:r w:rsidR="00EB3F74" w:rsidRPr="00A5380C">
        <w:rPr>
          <w:rFonts w:ascii="Tahoma" w:hAnsi="Tahoma" w:cs="Tahoma"/>
          <w:color w:val="000000"/>
          <w:sz w:val="22"/>
          <w:szCs w:val="22"/>
        </w:rPr>
        <w:t xml:space="preserve"> foreign, security and defence policy towards the region? </w:t>
      </w:r>
    </w:p>
    <w:p w:rsidR="00475F5E" w:rsidRPr="00A5380C" w:rsidRDefault="00EB3F74" w:rsidP="00475F5E">
      <w:pPr>
        <w:pStyle w:val="xmsonormal"/>
        <w:numPr>
          <w:ilvl w:val="0"/>
          <w:numId w:val="2"/>
        </w:numPr>
        <w:shd w:val="clear" w:color="auto" w:fill="FFFFFF"/>
        <w:spacing w:before="0" w:beforeAutospacing="0" w:after="0" w:afterAutospacing="0"/>
        <w:jc w:val="both"/>
        <w:rPr>
          <w:rFonts w:ascii="Tahoma" w:hAnsi="Tahoma" w:cs="Tahoma"/>
          <w:color w:val="000000"/>
          <w:sz w:val="22"/>
          <w:szCs w:val="22"/>
        </w:rPr>
      </w:pPr>
      <w:r w:rsidRPr="00A5380C">
        <w:rPr>
          <w:rFonts w:ascii="Tahoma" w:hAnsi="Tahoma" w:cs="Tahoma"/>
          <w:color w:val="000000"/>
          <w:sz w:val="22"/>
          <w:szCs w:val="22"/>
        </w:rPr>
        <w:t xml:space="preserve">What are the political and institutional implications of candidate Balkan countries entering the EU? </w:t>
      </w:r>
    </w:p>
    <w:p w:rsidR="00475F5E" w:rsidRPr="00A5380C" w:rsidRDefault="00475F5E" w:rsidP="00475F5E">
      <w:pPr>
        <w:pStyle w:val="xmsonormal"/>
        <w:numPr>
          <w:ilvl w:val="0"/>
          <w:numId w:val="2"/>
        </w:numPr>
        <w:shd w:val="clear" w:color="auto" w:fill="FFFFFF"/>
        <w:spacing w:before="0" w:beforeAutospacing="0" w:after="0" w:afterAutospacing="0"/>
        <w:jc w:val="both"/>
        <w:rPr>
          <w:rFonts w:ascii="Tahoma" w:hAnsi="Tahoma" w:cs="Tahoma"/>
          <w:color w:val="000000"/>
          <w:sz w:val="22"/>
          <w:szCs w:val="22"/>
        </w:rPr>
      </w:pPr>
      <w:r w:rsidRPr="00A5380C">
        <w:rPr>
          <w:rFonts w:ascii="Tahoma" w:hAnsi="Tahoma" w:cs="Tahoma"/>
          <w:sz w:val="22"/>
          <w:szCs w:val="22"/>
        </w:rPr>
        <w:t xml:space="preserve">How to measure </w:t>
      </w:r>
      <w:r w:rsidR="00EB3F74" w:rsidRPr="00A5380C">
        <w:rPr>
          <w:rFonts w:ascii="Tahoma" w:hAnsi="Tahoma" w:cs="Tahoma"/>
          <w:sz w:val="22"/>
          <w:szCs w:val="22"/>
        </w:rPr>
        <w:t xml:space="preserve">convergence and divergence of candidate Balkan countries to </w:t>
      </w:r>
      <w:r w:rsidR="00501A22" w:rsidRPr="00A5380C">
        <w:rPr>
          <w:rFonts w:ascii="Tahoma" w:hAnsi="Tahoma" w:cs="Tahoma"/>
          <w:sz w:val="22"/>
          <w:szCs w:val="22"/>
        </w:rPr>
        <w:t>collective European</w:t>
      </w:r>
      <w:r w:rsidR="00EB3F74" w:rsidRPr="00A5380C">
        <w:rPr>
          <w:rFonts w:ascii="Tahoma" w:hAnsi="Tahoma" w:cs="Tahoma"/>
          <w:sz w:val="22"/>
          <w:szCs w:val="22"/>
        </w:rPr>
        <w:t xml:space="preserve"> standards?</w:t>
      </w:r>
    </w:p>
    <w:p w:rsidR="00475F5E" w:rsidRPr="00A5380C" w:rsidRDefault="00475F5E" w:rsidP="00475F5E">
      <w:pPr>
        <w:pStyle w:val="xmsonormal"/>
        <w:shd w:val="clear" w:color="auto" w:fill="FFFFFF"/>
        <w:spacing w:before="0" w:beforeAutospacing="0" w:after="0" w:afterAutospacing="0"/>
        <w:ind w:left="720"/>
        <w:jc w:val="both"/>
        <w:rPr>
          <w:rFonts w:ascii="Tahoma" w:hAnsi="Tahoma" w:cs="Tahoma"/>
          <w:color w:val="000000"/>
          <w:sz w:val="22"/>
          <w:szCs w:val="22"/>
        </w:rPr>
      </w:pPr>
    </w:p>
    <w:p w:rsidR="00501A22" w:rsidRPr="00A5380C" w:rsidRDefault="00501A22" w:rsidP="00475F5E">
      <w:pPr>
        <w:pStyle w:val="xmsonormal"/>
        <w:shd w:val="clear" w:color="auto" w:fill="FFFFFF"/>
        <w:spacing w:before="0" w:beforeAutospacing="0" w:after="0" w:afterAutospacing="0"/>
        <w:ind w:left="720"/>
        <w:jc w:val="both"/>
        <w:rPr>
          <w:rFonts w:ascii="Tahoma" w:hAnsi="Tahoma" w:cs="Tahoma"/>
          <w:color w:val="000000"/>
          <w:sz w:val="22"/>
          <w:szCs w:val="22"/>
        </w:rPr>
      </w:pPr>
    </w:p>
    <w:p w:rsidR="00501A22" w:rsidRPr="004215A9" w:rsidRDefault="00501A22" w:rsidP="00475F5E">
      <w:pPr>
        <w:pStyle w:val="xmsonormal"/>
        <w:shd w:val="clear" w:color="auto" w:fill="FFFFFF"/>
        <w:spacing w:before="0" w:beforeAutospacing="0" w:after="0" w:afterAutospacing="0"/>
        <w:ind w:left="720"/>
        <w:jc w:val="both"/>
        <w:rPr>
          <w:rFonts w:ascii="Tahoma" w:hAnsi="Tahoma" w:cs="Tahoma"/>
          <w:color w:val="000000"/>
          <w:sz w:val="22"/>
          <w:szCs w:val="22"/>
        </w:rPr>
      </w:pPr>
    </w:p>
    <w:p w:rsidR="00661E4E" w:rsidRPr="004215A9" w:rsidRDefault="002A0556" w:rsidP="002A0556">
      <w:pPr>
        <w:jc w:val="center"/>
        <w:rPr>
          <w:rFonts w:ascii="Tahoma" w:hAnsi="Tahoma" w:cs="Tahoma"/>
          <w:spacing w:val="50"/>
          <w:sz w:val="22"/>
          <w:szCs w:val="22"/>
        </w:rPr>
      </w:pPr>
      <w:r w:rsidRPr="004215A9">
        <w:rPr>
          <w:rFonts w:ascii="Tahoma" w:hAnsi="Tahoma" w:cs="Tahoma"/>
          <w:spacing w:val="50"/>
          <w:sz w:val="22"/>
          <w:szCs w:val="22"/>
        </w:rPr>
        <w:t>***********</w:t>
      </w:r>
    </w:p>
    <w:p w:rsidR="002A0556" w:rsidRPr="004215A9" w:rsidRDefault="002A0556" w:rsidP="002A0556">
      <w:pPr>
        <w:jc w:val="both"/>
        <w:rPr>
          <w:rFonts w:ascii="Tahoma" w:hAnsi="Tahoma" w:cs="Tahoma"/>
          <w:sz w:val="22"/>
          <w:szCs w:val="22"/>
        </w:rPr>
      </w:pPr>
    </w:p>
    <w:p w:rsidR="0027387F" w:rsidRPr="004215A9" w:rsidRDefault="006636C3" w:rsidP="002A0556">
      <w:pPr>
        <w:jc w:val="both"/>
        <w:rPr>
          <w:rFonts w:ascii="Tahoma" w:hAnsi="Tahoma" w:cs="Tahoma"/>
          <w:sz w:val="22"/>
          <w:szCs w:val="22"/>
        </w:rPr>
      </w:pPr>
      <w:r>
        <w:rPr>
          <w:rFonts w:ascii="Tahoma" w:hAnsi="Tahoma" w:cs="Tahoma"/>
          <w:sz w:val="22"/>
          <w:szCs w:val="22"/>
        </w:rPr>
        <w:t>Please s</w:t>
      </w:r>
      <w:r w:rsidR="0027387F" w:rsidRPr="004215A9">
        <w:rPr>
          <w:rFonts w:ascii="Tahoma" w:hAnsi="Tahoma" w:cs="Tahoma"/>
          <w:sz w:val="22"/>
          <w:szCs w:val="22"/>
        </w:rPr>
        <w:t xml:space="preserve">end your </w:t>
      </w:r>
      <w:r>
        <w:rPr>
          <w:rFonts w:ascii="Tahoma" w:hAnsi="Tahoma" w:cs="Tahoma"/>
          <w:sz w:val="22"/>
          <w:szCs w:val="22"/>
        </w:rPr>
        <w:t>brie</w:t>
      </w:r>
      <w:r w:rsidR="000C268E">
        <w:rPr>
          <w:rFonts w:ascii="Tahoma" w:hAnsi="Tahoma" w:cs="Tahoma"/>
          <w:sz w:val="22"/>
          <w:szCs w:val="22"/>
        </w:rPr>
        <w:t>f</w:t>
      </w:r>
      <w:bookmarkStart w:id="0" w:name="_GoBack"/>
      <w:bookmarkEnd w:id="0"/>
      <w:r>
        <w:rPr>
          <w:rFonts w:ascii="Tahoma" w:hAnsi="Tahoma" w:cs="Tahoma"/>
          <w:sz w:val="22"/>
          <w:szCs w:val="22"/>
        </w:rPr>
        <w:t xml:space="preserve"> and (once approved) </w:t>
      </w:r>
      <w:r w:rsidR="0027387F" w:rsidRPr="004215A9">
        <w:rPr>
          <w:rFonts w:ascii="Tahoma" w:hAnsi="Tahoma" w:cs="Tahoma"/>
          <w:sz w:val="22"/>
          <w:szCs w:val="22"/>
        </w:rPr>
        <w:t>manuscript to the editor</w:t>
      </w:r>
      <w:r w:rsidR="00475F5E" w:rsidRPr="004215A9">
        <w:rPr>
          <w:rFonts w:ascii="Tahoma" w:hAnsi="Tahoma" w:cs="Tahoma"/>
          <w:sz w:val="22"/>
          <w:szCs w:val="22"/>
        </w:rPr>
        <w:t>s</w:t>
      </w:r>
      <w:r w:rsidR="007257D0" w:rsidRPr="004215A9">
        <w:rPr>
          <w:rFonts w:ascii="Tahoma" w:hAnsi="Tahoma" w:cs="Tahoma"/>
          <w:sz w:val="22"/>
          <w:szCs w:val="22"/>
        </w:rPr>
        <w:t xml:space="preserve"> (nikos@scandamis.org or </w:t>
      </w:r>
      <w:r w:rsidR="00475F5E" w:rsidRPr="004215A9">
        <w:rPr>
          <w:rFonts w:ascii="Tahoma" w:hAnsi="Tahoma" w:cs="Tahoma"/>
          <w:sz w:val="22"/>
          <w:szCs w:val="22"/>
        </w:rPr>
        <w:t>mperakis@law.uoa.gr</w:t>
      </w:r>
      <w:r w:rsidR="007257D0" w:rsidRPr="004215A9">
        <w:rPr>
          <w:rFonts w:ascii="Tahoma" w:hAnsi="Tahoma" w:cs="Tahoma"/>
          <w:sz w:val="22"/>
          <w:szCs w:val="22"/>
        </w:rPr>
        <w:t>)</w:t>
      </w:r>
      <w:r w:rsidR="002A0556" w:rsidRPr="004215A9">
        <w:rPr>
          <w:rFonts w:ascii="Tahoma" w:hAnsi="Tahoma" w:cs="Tahoma"/>
          <w:sz w:val="22"/>
          <w:szCs w:val="22"/>
        </w:rPr>
        <w:t>.</w:t>
      </w:r>
    </w:p>
    <w:p w:rsidR="002A0556" w:rsidRPr="004215A9" w:rsidRDefault="002A0556" w:rsidP="002A0556">
      <w:pPr>
        <w:jc w:val="both"/>
        <w:rPr>
          <w:rFonts w:ascii="Tahoma" w:hAnsi="Tahoma" w:cs="Tahoma"/>
          <w:sz w:val="22"/>
          <w:szCs w:val="22"/>
        </w:rPr>
      </w:pPr>
    </w:p>
    <w:p w:rsidR="0027387F" w:rsidRPr="004215A9" w:rsidRDefault="0027387F" w:rsidP="002A0556">
      <w:pPr>
        <w:jc w:val="both"/>
        <w:rPr>
          <w:rFonts w:ascii="Tahoma" w:hAnsi="Tahoma" w:cs="Tahoma"/>
          <w:sz w:val="22"/>
          <w:szCs w:val="22"/>
        </w:rPr>
      </w:pPr>
      <w:r w:rsidRPr="004215A9">
        <w:rPr>
          <w:rFonts w:ascii="Tahoma" w:hAnsi="Tahoma" w:cs="Tahoma"/>
          <w:sz w:val="22"/>
          <w:szCs w:val="22"/>
        </w:rPr>
        <w:t xml:space="preserve">For more information, visit the official website of the journal </w:t>
      </w:r>
      <w:hyperlink r:id="rId8" w:history="1">
        <w:r w:rsidRPr="004215A9">
          <w:rPr>
            <w:rFonts w:ascii="Tahoma" w:hAnsi="Tahoma" w:cs="Tahoma"/>
            <w:sz w:val="22"/>
            <w:szCs w:val="22"/>
          </w:rPr>
          <w:t>http://www.eplopublications.eu/europeanpoliteia.html</w:t>
        </w:r>
      </w:hyperlink>
      <w:r w:rsidR="006636C3">
        <w:rPr>
          <w:rFonts w:ascii="Tahoma" w:hAnsi="Tahoma" w:cs="Tahoma"/>
          <w:sz w:val="22"/>
          <w:szCs w:val="22"/>
        </w:rPr>
        <w:t>.</w:t>
      </w:r>
    </w:p>
    <w:p w:rsidR="002A0556" w:rsidRPr="004215A9" w:rsidRDefault="002A0556" w:rsidP="002A0556">
      <w:pPr>
        <w:jc w:val="both"/>
        <w:rPr>
          <w:rFonts w:ascii="Tahoma" w:hAnsi="Tahoma" w:cs="Tahoma"/>
          <w:sz w:val="22"/>
          <w:szCs w:val="22"/>
        </w:rPr>
      </w:pPr>
    </w:p>
    <w:p w:rsidR="002A0556" w:rsidRPr="004215A9" w:rsidRDefault="007257D0" w:rsidP="002A0556">
      <w:pPr>
        <w:jc w:val="both"/>
        <w:rPr>
          <w:rFonts w:ascii="Tahoma" w:hAnsi="Tahoma" w:cs="Tahoma"/>
          <w:sz w:val="22"/>
          <w:szCs w:val="22"/>
        </w:rPr>
      </w:pPr>
      <w:r w:rsidRPr="004215A9">
        <w:rPr>
          <w:rFonts w:ascii="Tahoma" w:hAnsi="Tahoma" w:cs="Tahoma"/>
          <w:sz w:val="22"/>
          <w:szCs w:val="22"/>
        </w:rPr>
        <w:t>Submission g</w:t>
      </w:r>
      <w:r w:rsidR="002A0556" w:rsidRPr="004215A9">
        <w:rPr>
          <w:rFonts w:ascii="Tahoma" w:hAnsi="Tahoma" w:cs="Tahoma"/>
          <w:sz w:val="22"/>
          <w:szCs w:val="22"/>
        </w:rPr>
        <w:t xml:space="preserve">uidelines </w:t>
      </w:r>
      <w:r w:rsidRPr="004215A9">
        <w:rPr>
          <w:rFonts w:ascii="Tahoma" w:hAnsi="Tahoma" w:cs="Tahoma"/>
          <w:sz w:val="22"/>
          <w:szCs w:val="22"/>
        </w:rPr>
        <w:t xml:space="preserve">for authors are </w:t>
      </w:r>
      <w:r w:rsidR="007F4C35" w:rsidRPr="004215A9">
        <w:rPr>
          <w:rFonts w:ascii="Tahoma" w:hAnsi="Tahoma" w:cs="Tahoma"/>
          <w:sz w:val="22"/>
          <w:szCs w:val="22"/>
        </w:rPr>
        <w:t>enclosed</w:t>
      </w:r>
      <w:r w:rsidR="002A0556" w:rsidRPr="004215A9">
        <w:rPr>
          <w:rFonts w:ascii="Tahoma" w:hAnsi="Tahoma" w:cs="Tahoma"/>
          <w:sz w:val="22"/>
          <w:szCs w:val="22"/>
        </w:rPr>
        <w:t xml:space="preserve">. </w:t>
      </w:r>
    </w:p>
    <w:p w:rsidR="002A0556" w:rsidRPr="004215A9" w:rsidRDefault="002A0556" w:rsidP="002A0556">
      <w:pPr>
        <w:jc w:val="both"/>
        <w:rPr>
          <w:rFonts w:ascii="Tahoma" w:hAnsi="Tahoma" w:cs="Tahoma"/>
          <w:sz w:val="22"/>
          <w:szCs w:val="22"/>
        </w:rPr>
      </w:pPr>
    </w:p>
    <w:p w:rsidR="002A0556" w:rsidRPr="004215A9" w:rsidRDefault="0027387F" w:rsidP="002A0556">
      <w:pPr>
        <w:jc w:val="both"/>
        <w:rPr>
          <w:rFonts w:ascii="Tahoma" w:hAnsi="Tahoma" w:cs="Tahoma"/>
          <w:sz w:val="22"/>
          <w:szCs w:val="22"/>
        </w:rPr>
      </w:pPr>
      <w:r w:rsidRPr="004215A9">
        <w:rPr>
          <w:rFonts w:ascii="Tahoma" w:hAnsi="Tahoma" w:cs="Tahoma"/>
          <w:sz w:val="22"/>
          <w:szCs w:val="22"/>
        </w:rPr>
        <w:t>With</w:t>
      </w:r>
      <w:r w:rsidR="002A0556" w:rsidRPr="004215A9">
        <w:rPr>
          <w:rFonts w:ascii="Tahoma" w:hAnsi="Tahoma" w:cs="Tahoma"/>
          <w:sz w:val="22"/>
          <w:szCs w:val="22"/>
        </w:rPr>
        <w:t xml:space="preserve"> kind regards, </w:t>
      </w:r>
    </w:p>
    <w:p w:rsidR="007257D0" w:rsidRPr="004215A9" w:rsidRDefault="007257D0" w:rsidP="002A0556">
      <w:pPr>
        <w:jc w:val="both"/>
        <w:rPr>
          <w:rFonts w:ascii="Tahoma" w:hAnsi="Tahoma" w:cs="Tahoma"/>
          <w:sz w:val="22"/>
          <w:szCs w:val="22"/>
        </w:rPr>
      </w:pPr>
    </w:p>
    <w:p w:rsidR="007257D0" w:rsidRPr="004215A9" w:rsidRDefault="00475F5E" w:rsidP="002A0556">
      <w:pPr>
        <w:jc w:val="both"/>
        <w:rPr>
          <w:rFonts w:ascii="Tahoma" w:hAnsi="Tahoma" w:cs="Tahoma"/>
          <w:sz w:val="22"/>
          <w:szCs w:val="22"/>
        </w:rPr>
      </w:pPr>
      <w:r w:rsidRPr="004215A9">
        <w:rPr>
          <w:rFonts w:ascii="Tahoma" w:hAnsi="Tahoma" w:cs="Tahoma"/>
          <w:sz w:val="22"/>
          <w:szCs w:val="22"/>
        </w:rPr>
        <w:t>Kostas Panselinos</w:t>
      </w:r>
    </w:p>
    <w:p w:rsidR="007257D0" w:rsidRPr="004215A9" w:rsidRDefault="007257D0" w:rsidP="002A0556">
      <w:pPr>
        <w:jc w:val="both"/>
        <w:rPr>
          <w:rFonts w:ascii="Tahoma" w:hAnsi="Tahoma" w:cs="Tahoma"/>
          <w:sz w:val="22"/>
          <w:szCs w:val="22"/>
        </w:rPr>
      </w:pPr>
      <w:r w:rsidRPr="004215A9">
        <w:rPr>
          <w:rFonts w:ascii="Tahoma" w:hAnsi="Tahoma" w:cs="Tahoma"/>
          <w:sz w:val="22"/>
          <w:szCs w:val="22"/>
        </w:rPr>
        <w:t>Editorial Assistant</w:t>
      </w:r>
    </w:p>
    <w:p w:rsidR="0027387F" w:rsidRPr="004215A9" w:rsidRDefault="0027387F" w:rsidP="002A0556">
      <w:pPr>
        <w:jc w:val="both"/>
        <w:rPr>
          <w:rFonts w:ascii="Tahoma" w:hAnsi="Tahoma" w:cs="Tahoma"/>
          <w:sz w:val="22"/>
          <w:szCs w:val="22"/>
        </w:rPr>
      </w:pPr>
    </w:p>
    <w:p w:rsidR="00661E4E" w:rsidRPr="004215A9" w:rsidRDefault="00661E4E" w:rsidP="002A0556">
      <w:pPr>
        <w:widowControl w:val="0"/>
        <w:autoSpaceDE w:val="0"/>
        <w:autoSpaceDN w:val="0"/>
        <w:adjustRightInd w:val="0"/>
        <w:jc w:val="both"/>
        <w:rPr>
          <w:rFonts w:ascii="Tahoma" w:hAnsi="Tahoma" w:cs="Tahoma"/>
          <w:color w:val="323133"/>
          <w:sz w:val="22"/>
          <w:szCs w:val="22"/>
          <w:u w:color="323133"/>
        </w:rPr>
      </w:pPr>
    </w:p>
    <w:p w:rsidR="007257D0" w:rsidRPr="004215A9" w:rsidRDefault="007257D0" w:rsidP="007257D0">
      <w:pPr>
        <w:jc w:val="center"/>
        <w:rPr>
          <w:rFonts w:ascii="Tahoma" w:hAnsi="Tahoma" w:cs="Tahoma"/>
          <w:b/>
          <w:sz w:val="22"/>
          <w:szCs w:val="22"/>
        </w:rPr>
      </w:pPr>
      <w:r w:rsidRPr="004215A9">
        <w:rPr>
          <w:rFonts w:ascii="Tahoma" w:hAnsi="Tahoma" w:cs="Tahoma"/>
          <w:b/>
          <w:sz w:val="22"/>
          <w:szCs w:val="22"/>
        </w:rPr>
        <w:t>INSTRUCTIONS TO AUTHORS</w:t>
      </w:r>
    </w:p>
    <w:p w:rsidR="007257D0" w:rsidRPr="004215A9" w:rsidRDefault="007257D0" w:rsidP="007257D0">
      <w:pPr>
        <w:rPr>
          <w:rFonts w:ascii="Tahoma" w:hAnsi="Tahoma" w:cs="Tahoma"/>
          <w:sz w:val="22"/>
          <w:szCs w:val="22"/>
        </w:rPr>
      </w:pPr>
    </w:p>
    <w:p w:rsidR="007257D0" w:rsidRPr="004215A9" w:rsidRDefault="007257D0" w:rsidP="007257D0">
      <w:pPr>
        <w:rPr>
          <w:rFonts w:ascii="Tahoma" w:hAnsi="Tahoma" w:cs="Tahoma"/>
          <w:b/>
          <w:sz w:val="22"/>
          <w:szCs w:val="22"/>
        </w:rPr>
      </w:pPr>
      <w:r w:rsidRPr="004215A9">
        <w:rPr>
          <w:rFonts w:ascii="Tahoma" w:hAnsi="Tahoma" w:cs="Tahoma"/>
          <w:b/>
          <w:sz w:val="22"/>
          <w:szCs w:val="22"/>
        </w:rPr>
        <w:t>1. Submission of texts</w:t>
      </w:r>
    </w:p>
    <w:p w:rsidR="007257D0" w:rsidRPr="004215A9" w:rsidRDefault="007257D0" w:rsidP="007257D0">
      <w:pPr>
        <w:spacing w:before="120"/>
        <w:jc w:val="both"/>
        <w:rPr>
          <w:rFonts w:ascii="Tahoma" w:hAnsi="Tahoma" w:cs="Tahoma"/>
          <w:sz w:val="22"/>
          <w:szCs w:val="22"/>
        </w:rPr>
      </w:pPr>
      <w:r w:rsidRPr="004215A9">
        <w:rPr>
          <w:rFonts w:ascii="Tahoma" w:hAnsi="Tahoma" w:cs="Tahoma"/>
          <w:sz w:val="22"/>
          <w:szCs w:val="22"/>
        </w:rPr>
        <w:t>All manuscripts must be submitted in Word format as an email attachment. Communications concerning the submission of manuscripts should be sent to Mr</w:t>
      </w:r>
      <w:r w:rsidR="00475F5E" w:rsidRPr="004215A9">
        <w:rPr>
          <w:rFonts w:ascii="Tahoma" w:hAnsi="Tahoma" w:cs="Tahoma"/>
          <w:sz w:val="22"/>
          <w:szCs w:val="22"/>
        </w:rPr>
        <w:t>Kostas Panselinos</w:t>
      </w:r>
      <w:r w:rsidRPr="004215A9">
        <w:rPr>
          <w:rFonts w:ascii="Tahoma" w:hAnsi="Tahoma" w:cs="Tahoma"/>
          <w:sz w:val="22"/>
          <w:szCs w:val="22"/>
        </w:rPr>
        <w:t xml:space="preserve"> (</w:t>
      </w:r>
      <w:r w:rsidR="00DA2837">
        <w:rPr>
          <w:rFonts w:ascii="Tahoma" w:hAnsi="Tahoma" w:cs="Tahoma"/>
          <w:sz w:val="22"/>
          <w:szCs w:val="22"/>
        </w:rPr>
        <w:t>kpanselinos@eplo.eu</w:t>
      </w:r>
      <w:r w:rsidRPr="004215A9">
        <w:rPr>
          <w:rFonts w:ascii="Tahoma" w:hAnsi="Tahoma" w:cs="Tahoma"/>
          <w:sz w:val="22"/>
          <w:szCs w:val="22"/>
        </w:rPr>
        <w:t xml:space="preserve">). Manuscripts to be submitted for consideration should be in one of the three most widely spoken European languages: English, French or German. </w:t>
      </w:r>
    </w:p>
    <w:p w:rsidR="007257D0" w:rsidRPr="004215A9" w:rsidRDefault="007257D0" w:rsidP="007257D0">
      <w:pPr>
        <w:spacing w:before="120"/>
        <w:jc w:val="both"/>
        <w:rPr>
          <w:rFonts w:ascii="Tahoma" w:hAnsi="Tahoma" w:cs="Tahoma"/>
          <w:sz w:val="22"/>
          <w:szCs w:val="22"/>
        </w:rPr>
      </w:pPr>
      <w:r w:rsidRPr="004215A9">
        <w:rPr>
          <w:rFonts w:ascii="Tahoma" w:hAnsi="Tahoma" w:cs="Tahoma"/>
          <w:i/>
          <w:sz w:val="22"/>
          <w:szCs w:val="22"/>
        </w:rPr>
        <w:t>Articles</w:t>
      </w:r>
      <w:r w:rsidRPr="004215A9">
        <w:rPr>
          <w:rFonts w:ascii="Tahoma" w:hAnsi="Tahoma" w:cs="Tahoma"/>
          <w:sz w:val="22"/>
          <w:szCs w:val="22"/>
        </w:rPr>
        <w:t xml:space="preserve"> should preferably be no longer than 4.000-5.000 words, including footnotes, and should be submitted together with an abstract of 100-150 words in length. If the article is written in a language other than English, then an abstract and title in English should be submitted as well. Notes should be numbered sequentially in superscript in the text outside punctuation marks and placed as footnotes included in the main text (after an initial unnumbered note attached to the author’s name by an asterisk, stating his/her professional capacity).</w:t>
      </w:r>
    </w:p>
    <w:p w:rsidR="007257D0" w:rsidRPr="004215A9" w:rsidRDefault="007257D0" w:rsidP="007257D0">
      <w:pPr>
        <w:spacing w:before="120"/>
        <w:jc w:val="both"/>
        <w:rPr>
          <w:rFonts w:ascii="Tahoma" w:hAnsi="Tahoma" w:cs="Tahoma"/>
          <w:sz w:val="22"/>
          <w:szCs w:val="22"/>
        </w:rPr>
      </w:pPr>
      <w:r w:rsidRPr="004215A9">
        <w:rPr>
          <w:rFonts w:ascii="Tahoma" w:hAnsi="Tahoma" w:cs="Tahoma"/>
          <w:i/>
          <w:sz w:val="22"/>
          <w:szCs w:val="22"/>
        </w:rPr>
        <w:t xml:space="preserve">Case notes </w:t>
      </w:r>
      <w:r w:rsidRPr="004215A9">
        <w:rPr>
          <w:rFonts w:ascii="Tahoma" w:hAnsi="Tahoma" w:cs="Tahoma"/>
          <w:sz w:val="22"/>
          <w:szCs w:val="22"/>
        </w:rPr>
        <w:t>or</w:t>
      </w:r>
      <w:r w:rsidRPr="004215A9">
        <w:rPr>
          <w:rFonts w:ascii="Tahoma" w:hAnsi="Tahoma" w:cs="Tahoma"/>
          <w:i/>
          <w:sz w:val="22"/>
          <w:szCs w:val="22"/>
        </w:rPr>
        <w:t xml:space="preserve"> legislation notes</w:t>
      </w:r>
      <w:r w:rsidRPr="004215A9">
        <w:rPr>
          <w:rFonts w:ascii="Tahoma" w:hAnsi="Tahoma" w:cs="Tahoma"/>
          <w:sz w:val="22"/>
          <w:szCs w:val="22"/>
        </w:rPr>
        <w:t xml:space="preserve"> should not exceed 2.500 words.</w:t>
      </w:r>
    </w:p>
    <w:p w:rsidR="007257D0" w:rsidRPr="004215A9" w:rsidRDefault="007257D0" w:rsidP="007257D0">
      <w:pPr>
        <w:spacing w:before="120"/>
        <w:jc w:val="both"/>
        <w:rPr>
          <w:rFonts w:ascii="Tahoma" w:hAnsi="Tahoma" w:cs="Tahoma"/>
          <w:sz w:val="22"/>
          <w:szCs w:val="22"/>
        </w:rPr>
      </w:pPr>
      <w:r w:rsidRPr="004215A9">
        <w:rPr>
          <w:rFonts w:ascii="Tahoma" w:hAnsi="Tahoma" w:cs="Tahoma"/>
          <w:i/>
          <w:sz w:val="22"/>
          <w:szCs w:val="22"/>
        </w:rPr>
        <w:t>Book Reviews</w:t>
      </w:r>
      <w:r w:rsidRPr="004215A9">
        <w:rPr>
          <w:rFonts w:ascii="Tahoma" w:hAnsi="Tahoma" w:cs="Tahoma"/>
          <w:sz w:val="22"/>
          <w:szCs w:val="22"/>
        </w:rPr>
        <w:t xml:space="preserve"> should not exceed 1.500 words and have no footnotes.</w:t>
      </w:r>
    </w:p>
    <w:p w:rsidR="007257D0" w:rsidRPr="004215A9" w:rsidRDefault="007257D0" w:rsidP="007257D0">
      <w:pPr>
        <w:rPr>
          <w:rFonts w:ascii="Tahoma" w:hAnsi="Tahoma" w:cs="Tahoma"/>
          <w:sz w:val="22"/>
          <w:szCs w:val="22"/>
        </w:rPr>
      </w:pPr>
    </w:p>
    <w:p w:rsidR="007257D0" w:rsidRPr="004215A9" w:rsidRDefault="007257D0" w:rsidP="007257D0">
      <w:pPr>
        <w:rPr>
          <w:rFonts w:ascii="Tahoma" w:hAnsi="Tahoma" w:cs="Tahoma"/>
          <w:b/>
          <w:sz w:val="22"/>
          <w:szCs w:val="22"/>
        </w:rPr>
      </w:pPr>
      <w:r w:rsidRPr="004215A9">
        <w:rPr>
          <w:rFonts w:ascii="Tahoma" w:hAnsi="Tahoma" w:cs="Tahoma"/>
          <w:b/>
          <w:sz w:val="22"/>
          <w:szCs w:val="22"/>
        </w:rPr>
        <w:t>2. Headings – Style</w:t>
      </w:r>
    </w:p>
    <w:p w:rsidR="007257D0" w:rsidRPr="004215A9" w:rsidRDefault="007257D0" w:rsidP="007257D0">
      <w:pPr>
        <w:spacing w:before="120"/>
        <w:jc w:val="both"/>
        <w:rPr>
          <w:rFonts w:ascii="Tahoma" w:hAnsi="Tahoma" w:cs="Tahoma"/>
          <w:sz w:val="22"/>
          <w:szCs w:val="22"/>
        </w:rPr>
      </w:pPr>
      <w:r w:rsidRPr="004215A9">
        <w:rPr>
          <w:rFonts w:ascii="Tahoma" w:hAnsi="Tahoma" w:cs="Tahoma"/>
          <w:sz w:val="22"/>
          <w:szCs w:val="22"/>
        </w:rPr>
        <w:t>In articles, case notes or legislation notes, individual paragraphs should not be numbered. Subdivisions with headings are preferred and a maximum of four levels of heading is suggested, as set forth below:</w:t>
      </w:r>
    </w:p>
    <w:p w:rsidR="007257D0" w:rsidRPr="004215A9" w:rsidRDefault="007257D0" w:rsidP="007257D0">
      <w:pPr>
        <w:spacing w:before="120"/>
        <w:jc w:val="both"/>
        <w:rPr>
          <w:rFonts w:ascii="Tahoma" w:hAnsi="Tahoma" w:cs="Tahoma"/>
          <w:sz w:val="22"/>
          <w:szCs w:val="22"/>
          <w:lang w:val="fr-FR"/>
        </w:rPr>
      </w:pPr>
      <w:r w:rsidRPr="004215A9">
        <w:rPr>
          <w:rFonts w:ascii="Tahoma" w:hAnsi="Tahoma" w:cs="Tahoma"/>
          <w:sz w:val="22"/>
          <w:szCs w:val="22"/>
          <w:lang w:val="fr-FR"/>
        </w:rPr>
        <w:t>Article title</w:t>
      </w:r>
    </w:p>
    <w:p w:rsidR="007257D0" w:rsidRPr="004215A9" w:rsidRDefault="007257D0" w:rsidP="007257D0">
      <w:pPr>
        <w:ind w:left="540"/>
        <w:rPr>
          <w:rFonts w:ascii="Tahoma" w:hAnsi="Tahoma" w:cs="Tahoma"/>
          <w:sz w:val="22"/>
          <w:szCs w:val="22"/>
          <w:lang w:val="fr-FR"/>
        </w:rPr>
      </w:pPr>
      <w:r w:rsidRPr="004215A9">
        <w:rPr>
          <w:rFonts w:ascii="Tahoma" w:hAnsi="Tahoma" w:cs="Tahoma"/>
          <w:sz w:val="22"/>
          <w:szCs w:val="22"/>
          <w:lang w:val="fr-FR"/>
        </w:rPr>
        <w:t>I. Section</w:t>
      </w:r>
    </w:p>
    <w:p w:rsidR="007257D0" w:rsidRPr="004215A9" w:rsidRDefault="007257D0" w:rsidP="007257D0">
      <w:pPr>
        <w:ind w:left="1080"/>
        <w:rPr>
          <w:rFonts w:ascii="Tahoma" w:hAnsi="Tahoma" w:cs="Tahoma"/>
          <w:sz w:val="22"/>
          <w:szCs w:val="22"/>
          <w:lang w:val="fr-FR"/>
        </w:rPr>
      </w:pPr>
      <w:r w:rsidRPr="004215A9">
        <w:rPr>
          <w:rFonts w:ascii="Tahoma" w:hAnsi="Tahoma" w:cs="Tahoma"/>
          <w:sz w:val="22"/>
          <w:szCs w:val="22"/>
          <w:lang w:val="fr-FR"/>
        </w:rPr>
        <w:t>A. Subsection</w:t>
      </w:r>
    </w:p>
    <w:p w:rsidR="007257D0" w:rsidRPr="004215A9" w:rsidRDefault="007257D0" w:rsidP="007257D0">
      <w:pPr>
        <w:ind w:left="1620"/>
        <w:rPr>
          <w:rFonts w:ascii="Tahoma" w:hAnsi="Tahoma" w:cs="Tahoma"/>
          <w:sz w:val="22"/>
          <w:szCs w:val="22"/>
          <w:lang w:val="fr-FR"/>
        </w:rPr>
      </w:pPr>
      <w:r w:rsidRPr="004215A9">
        <w:rPr>
          <w:rFonts w:ascii="Tahoma" w:hAnsi="Tahoma" w:cs="Tahoma"/>
          <w:sz w:val="22"/>
          <w:szCs w:val="22"/>
          <w:lang w:val="fr-FR"/>
        </w:rPr>
        <w:t>1. Paragraph</w:t>
      </w:r>
    </w:p>
    <w:p w:rsidR="007257D0" w:rsidRPr="004215A9" w:rsidRDefault="007257D0" w:rsidP="007257D0">
      <w:pPr>
        <w:jc w:val="both"/>
        <w:rPr>
          <w:rFonts w:ascii="Tahoma" w:hAnsi="Tahoma" w:cs="Tahoma"/>
          <w:sz w:val="22"/>
          <w:szCs w:val="22"/>
        </w:rPr>
      </w:pPr>
      <w:r w:rsidRPr="004215A9">
        <w:rPr>
          <w:rFonts w:ascii="Tahoma" w:hAnsi="Tahoma" w:cs="Tahoma"/>
          <w:sz w:val="22"/>
          <w:szCs w:val="22"/>
        </w:rPr>
        <w:t xml:space="preserve">Phrases in capitals or underlined text should be avoided. </w:t>
      </w:r>
    </w:p>
    <w:p w:rsidR="007257D0" w:rsidRPr="004215A9" w:rsidRDefault="007257D0" w:rsidP="007257D0">
      <w:pPr>
        <w:jc w:val="both"/>
        <w:rPr>
          <w:rFonts w:ascii="Tahoma" w:hAnsi="Tahoma" w:cs="Tahoma"/>
          <w:sz w:val="22"/>
          <w:szCs w:val="22"/>
        </w:rPr>
      </w:pPr>
    </w:p>
    <w:p w:rsidR="007257D0" w:rsidRPr="004215A9" w:rsidRDefault="007257D0" w:rsidP="007257D0">
      <w:pPr>
        <w:jc w:val="both"/>
        <w:rPr>
          <w:rFonts w:ascii="Tahoma" w:hAnsi="Tahoma" w:cs="Tahoma"/>
          <w:b/>
          <w:sz w:val="22"/>
          <w:szCs w:val="22"/>
        </w:rPr>
      </w:pPr>
      <w:r w:rsidRPr="004215A9">
        <w:rPr>
          <w:rFonts w:ascii="Tahoma" w:hAnsi="Tahoma" w:cs="Tahoma"/>
          <w:b/>
          <w:sz w:val="22"/>
          <w:szCs w:val="22"/>
        </w:rPr>
        <w:t xml:space="preserve">3. General rules of citation  </w:t>
      </w:r>
    </w:p>
    <w:p w:rsidR="007257D0" w:rsidRPr="004215A9" w:rsidRDefault="007257D0" w:rsidP="007257D0">
      <w:pPr>
        <w:rPr>
          <w:rFonts w:ascii="Tahoma" w:hAnsi="Tahoma" w:cs="Tahoma"/>
          <w:sz w:val="22"/>
          <w:szCs w:val="22"/>
        </w:rPr>
      </w:pPr>
    </w:p>
    <w:p w:rsidR="007257D0" w:rsidRPr="004215A9" w:rsidRDefault="007257D0" w:rsidP="007257D0">
      <w:pPr>
        <w:rPr>
          <w:rFonts w:ascii="Tahoma" w:hAnsi="Tahoma" w:cs="Tahoma"/>
          <w:i/>
          <w:sz w:val="22"/>
          <w:szCs w:val="22"/>
        </w:rPr>
      </w:pPr>
      <w:r w:rsidRPr="004215A9">
        <w:rPr>
          <w:rFonts w:ascii="Tahoma" w:hAnsi="Tahoma" w:cs="Tahoma"/>
          <w:i/>
          <w:sz w:val="22"/>
          <w:szCs w:val="22"/>
        </w:rPr>
        <w:t>Books</w:t>
      </w:r>
    </w:p>
    <w:p w:rsidR="007257D0" w:rsidRPr="004215A9" w:rsidRDefault="007257D0" w:rsidP="007257D0">
      <w:pPr>
        <w:rPr>
          <w:rFonts w:ascii="Tahoma" w:hAnsi="Tahoma" w:cs="Tahoma"/>
          <w:sz w:val="22"/>
          <w:szCs w:val="22"/>
          <w:lang w:val="fr-FR"/>
        </w:rPr>
      </w:pPr>
      <w:r w:rsidRPr="004215A9">
        <w:rPr>
          <w:rFonts w:ascii="Tahoma" w:hAnsi="Tahoma" w:cs="Tahoma"/>
          <w:sz w:val="22"/>
          <w:szCs w:val="22"/>
        </w:rPr>
        <w:t xml:space="preserve">Tridimas, </w:t>
      </w:r>
      <w:r w:rsidR="004329D0" w:rsidRPr="004215A9">
        <w:rPr>
          <w:rFonts w:ascii="Tahoma" w:hAnsi="Tahoma" w:cs="Tahoma"/>
          <w:i/>
          <w:sz w:val="22"/>
          <w:szCs w:val="22"/>
        </w:rPr>
        <w:t>The General Principles of EU Law</w:t>
      </w:r>
      <w:r w:rsidRPr="004215A9">
        <w:rPr>
          <w:rFonts w:ascii="Tahoma" w:hAnsi="Tahoma" w:cs="Tahoma"/>
          <w:sz w:val="22"/>
          <w:szCs w:val="22"/>
        </w:rPr>
        <w:t xml:space="preserve">, 2nd ed. </w:t>
      </w:r>
      <w:r w:rsidRPr="004215A9">
        <w:rPr>
          <w:rFonts w:ascii="Tahoma" w:hAnsi="Tahoma" w:cs="Tahoma"/>
          <w:sz w:val="22"/>
          <w:szCs w:val="22"/>
          <w:lang w:val="fr-FR"/>
        </w:rPr>
        <w:t>(OUP, 2006), pp. 16-24.</w:t>
      </w:r>
    </w:p>
    <w:p w:rsidR="007257D0" w:rsidRPr="004215A9" w:rsidRDefault="007257D0" w:rsidP="007257D0">
      <w:pPr>
        <w:rPr>
          <w:rFonts w:ascii="Tahoma" w:hAnsi="Tahoma" w:cs="Tahoma"/>
          <w:sz w:val="22"/>
          <w:szCs w:val="22"/>
          <w:lang w:val="fr-FR"/>
        </w:rPr>
      </w:pPr>
    </w:p>
    <w:p w:rsidR="007257D0" w:rsidRPr="004215A9" w:rsidRDefault="007257D0" w:rsidP="007257D0">
      <w:pPr>
        <w:rPr>
          <w:rFonts w:ascii="Tahoma" w:hAnsi="Tahoma" w:cs="Tahoma"/>
          <w:i/>
          <w:sz w:val="22"/>
          <w:szCs w:val="22"/>
          <w:lang w:val="fr-FR"/>
        </w:rPr>
      </w:pPr>
      <w:r w:rsidRPr="004215A9">
        <w:rPr>
          <w:rFonts w:ascii="Tahoma" w:hAnsi="Tahoma" w:cs="Tahoma"/>
          <w:i/>
          <w:sz w:val="22"/>
          <w:szCs w:val="22"/>
          <w:lang w:val="fr-FR"/>
        </w:rPr>
        <w:t>Articles</w:t>
      </w:r>
    </w:p>
    <w:p w:rsidR="007257D0" w:rsidRPr="004215A9" w:rsidRDefault="007257D0" w:rsidP="007257D0">
      <w:pPr>
        <w:jc w:val="both"/>
        <w:rPr>
          <w:rFonts w:ascii="Tahoma" w:hAnsi="Tahoma" w:cs="Tahoma"/>
          <w:sz w:val="22"/>
          <w:szCs w:val="22"/>
          <w:lang w:val="fr-FR"/>
        </w:rPr>
      </w:pPr>
      <w:r w:rsidRPr="004215A9">
        <w:rPr>
          <w:rFonts w:ascii="Tahoma" w:hAnsi="Tahoma" w:cs="Tahoma"/>
          <w:sz w:val="22"/>
          <w:szCs w:val="22"/>
          <w:lang w:val="fr-FR"/>
        </w:rPr>
        <w:t xml:space="preserve">Hatzopoulos, Le principe de reconnaissance mutuelle dans la libre prestation de services, (2010) </w:t>
      </w:r>
      <w:r w:rsidR="004329D0" w:rsidRPr="004215A9">
        <w:rPr>
          <w:rFonts w:ascii="Tahoma" w:hAnsi="Tahoma" w:cs="Tahoma"/>
          <w:i/>
          <w:sz w:val="22"/>
          <w:szCs w:val="22"/>
          <w:lang w:val="fr-FR"/>
        </w:rPr>
        <w:t>CDE</w:t>
      </w:r>
      <w:r w:rsidRPr="004215A9">
        <w:rPr>
          <w:rFonts w:ascii="Tahoma" w:hAnsi="Tahoma" w:cs="Tahoma"/>
          <w:sz w:val="22"/>
          <w:szCs w:val="22"/>
          <w:lang w:val="fr-FR"/>
        </w:rPr>
        <w:t>, 47-93.</w:t>
      </w:r>
    </w:p>
    <w:p w:rsidR="007257D0" w:rsidRPr="004215A9" w:rsidRDefault="007257D0" w:rsidP="007257D0">
      <w:pPr>
        <w:rPr>
          <w:rFonts w:ascii="Tahoma" w:hAnsi="Tahoma" w:cs="Tahoma"/>
          <w:sz w:val="22"/>
          <w:szCs w:val="22"/>
          <w:lang w:val="fr-FR"/>
        </w:rPr>
      </w:pPr>
    </w:p>
    <w:p w:rsidR="007257D0" w:rsidRPr="004215A9" w:rsidRDefault="007257D0" w:rsidP="007257D0">
      <w:pPr>
        <w:rPr>
          <w:rFonts w:ascii="Tahoma" w:hAnsi="Tahoma" w:cs="Tahoma"/>
          <w:i/>
          <w:sz w:val="22"/>
          <w:szCs w:val="22"/>
          <w:lang w:val="fr-FR"/>
        </w:rPr>
      </w:pPr>
      <w:r w:rsidRPr="004215A9">
        <w:rPr>
          <w:rFonts w:ascii="Tahoma" w:hAnsi="Tahoma" w:cs="Tahoma"/>
          <w:i/>
          <w:sz w:val="22"/>
          <w:szCs w:val="22"/>
          <w:lang w:val="fr-FR"/>
        </w:rPr>
        <w:t>EU documents</w:t>
      </w:r>
    </w:p>
    <w:p w:rsidR="007257D0" w:rsidRPr="004215A9" w:rsidRDefault="007257D0" w:rsidP="007257D0">
      <w:pPr>
        <w:rPr>
          <w:rFonts w:ascii="Tahoma" w:hAnsi="Tahoma" w:cs="Tahoma"/>
          <w:sz w:val="22"/>
          <w:szCs w:val="22"/>
          <w:lang w:val="fr-FR"/>
        </w:rPr>
      </w:pPr>
      <w:r w:rsidRPr="004215A9">
        <w:rPr>
          <w:rFonts w:ascii="Tahoma" w:hAnsi="Tahoma" w:cs="Tahoma"/>
          <w:sz w:val="22"/>
          <w:szCs w:val="22"/>
          <w:lang w:val="fr-FR"/>
        </w:rPr>
        <w:t>O.J. 1983, L 24/30.</w:t>
      </w:r>
    </w:p>
    <w:p w:rsidR="007257D0" w:rsidRPr="004215A9" w:rsidRDefault="007257D0" w:rsidP="007257D0">
      <w:pPr>
        <w:jc w:val="both"/>
        <w:rPr>
          <w:rFonts w:ascii="Tahoma" w:hAnsi="Tahoma" w:cs="Tahoma"/>
          <w:sz w:val="22"/>
          <w:szCs w:val="22"/>
        </w:rPr>
      </w:pPr>
      <w:r w:rsidRPr="004215A9">
        <w:rPr>
          <w:rFonts w:ascii="Tahoma" w:hAnsi="Tahoma" w:cs="Tahoma"/>
          <w:sz w:val="22"/>
          <w:szCs w:val="22"/>
        </w:rPr>
        <w:t>COM(2010)2020, “Europe 2020: A strategy for smart, sustainable and inclusive growth”, para. 460.</w:t>
      </w:r>
    </w:p>
    <w:p w:rsidR="007257D0" w:rsidRPr="004215A9" w:rsidRDefault="007257D0" w:rsidP="007257D0">
      <w:pPr>
        <w:rPr>
          <w:rFonts w:ascii="Tahoma" w:hAnsi="Tahoma" w:cs="Tahoma"/>
          <w:i/>
          <w:sz w:val="22"/>
          <w:szCs w:val="22"/>
        </w:rPr>
      </w:pPr>
    </w:p>
    <w:p w:rsidR="007257D0" w:rsidRPr="004215A9" w:rsidRDefault="007257D0" w:rsidP="007257D0">
      <w:pPr>
        <w:rPr>
          <w:rFonts w:ascii="Tahoma" w:hAnsi="Tahoma" w:cs="Tahoma"/>
          <w:i/>
          <w:sz w:val="22"/>
          <w:szCs w:val="22"/>
        </w:rPr>
      </w:pPr>
      <w:r w:rsidRPr="004215A9">
        <w:rPr>
          <w:rFonts w:ascii="Tahoma" w:hAnsi="Tahoma" w:cs="Tahoma"/>
          <w:i/>
          <w:sz w:val="22"/>
          <w:szCs w:val="22"/>
        </w:rPr>
        <w:t xml:space="preserve">Legislation </w:t>
      </w:r>
    </w:p>
    <w:p w:rsidR="007257D0" w:rsidRPr="004215A9" w:rsidRDefault="007257D0" w:rsidP="007257D0">
      <w:pPr>
        <w:jc w:val="both"/>
        <w:rPr>
          <w:rFonts w:ascii="Tahoma" w:hAnsi="Tahoma" w:cs="Tahoma"/>
          <w:sz w:val="22"/>
          <w:szCs w:val="22"/>
        </w:rPr>
      </w:pPr>
      <w:r w:rsidRPr="004215A9">
        <w:rPr>
          <w:rFonts w:ascii="Tahoma" w:hAnsi="Tahoma" w:cs="Tahoma"/>
          <w:sz w:val="22"/>
          <w:szCs w:val="22"/>
        </w:rPr>
        <w:t xml:space="preserve">Article 114 </w:t>
      </w:r>
      <w:r w:rsidR="00FD0634" w:rsidRPr="004215A9">
        <w:rPr>
          <w:rFonts w:ascii="Tahoma" w:hAnsi="Tahoma" w:cs="Tahoma"/>
          <w:iCs/>
          <w:sz w:val="22"/>
          <w:szCs w:val="22"/>
        </w:rPr>
        <w:t>TFEU</w:t>
      </w:r>
    </w:p>
    <w:p w:rsidR="00FD0634" w:rsidRPr="004215A9" w:rsidRDefault="00FD0634" w:rsidP="00FD0634">
      <w:pPr>
        <w:rPr>
          <w:rFonts w:ascii="Tahoma" w:eastAsia="Times New Roman" w:hAnsi="Tahoma" w:cs="Tahoma"/>
          <w:sz w:val="22"/>
          <w:szCs w:val="22"/>
          <w:lang w:eastAsia="el-GR"/>
        </w:rPr>
      </w:pPr>
      <w:r w:rsidRPr="004215A9">
        <w:rPr>
          <w:rFonts w:ascii="Tahoma" w:eastAsia="Times New Roman" w:hAnsi="Tahoma" w:cs="Tahoma"/>
          <w:sz w:val="22"/>
          <w:szCs w:val="22"/>
          <w:lang w:eastAsia="el-GR"/>
        </w:rPr>
        <w:t>Council Regulation 1/2003/EC (O.J. 2003, L1/1)</w:t>
      </w:r>
    </w:p>
    <w:p w:rsidR="00FD0634" w:rsidRPr="004215A9" w:rsidRDefault="00FD0634" w:rsidP="00FD0634">
      <w:pPr>
        <w:rPr>
          <w:rFonts w:ascii="Tahoma" w:eastAsia="Times New Roman" w:hAnsi="Tahoma" w:cs="Tahoma"/>
          <w:sz w:val="22"/>
          <w:szCs w:val="22"/>
          <w:lang w:eastAsia="el-GR"/>
        </w:rPr>
      </w:pPr>
    </w:p>
    <w:p w:rsidR="007257D0" w:rsidRPr="004215A9" w:rsidRDefault="007257D0" w:rsidP="007257D0">
      <w:pPr>
        <w:rPr>
          <w:rFonts w:ascii="Tahoma" w:hAnsi="Tahoma" w:cs="Tahoma"/>
          <w:i/>
          <w:sz w:val="22"/>
          <w:szCs w:val="22"/>
        </w:rPr>
      </w:pPr>
      <w:r w:rsidRPr="004215A9">
        <w:rPr>
          <w:rFonts w:ascii="Tahoma" w:hAnsi="Tahoma" w:cs="Tahoma"/>
          <w:i/>
          <w:sz w:val="22"/>
          <w:szCs w:val="22"/>
        </w:rPr>
        <w:t>Jurisprudence</w:t>
      </w:r>
    </w:p>
    <w:p w:rsidR="00EC13D7" w:rsidRPr="004215A9" w:rsidRDefault="00EC13D7" w:rsidP="00EC13D7">
      <w:pPr>
        <w:jc w:val="both"/>
        <w:rPr>
          <w:rFonts w:ascii="Tahoma" w:hAnsi="Tahoma" w:cs="Tahoma"/>
          <w:sz w:val="22"/>
          <w:szCs w:val="22"/>
        </w:rPr>
      </w:pPr>
      <w:r w:rsidRPr="004215A9">
        <w:rPr>
          <w:rFonts w:ascii="Tahoma" w:hAnsi="Tahoma" w:cs="Tahoma"/>
          <w:sz w:val="22"/>
          <w:szCs w:val="22"/>
        </w:rPr>
        <w:t>Case C</w:t>
      </w:r>
      <w:r w:rsidRPr="004215A9">
        <w:rPr>
          <w:rFonts w:ascii="Tahoma" w:hAnsi="Tahoma" w:cs="Tahoma"/>
          <w:sz w:val="22"/>
          <w:szCs w:val="22"/>
        </w:rPr>
        <w:noBreakHyphen/>
        <w:t xml:space="preserve">70/88, </w:t>
      </w:r>
      <w:r w:rsidRPr="004215A9">
        <w:rPr>
          <w:rFonts w:ascii="Tahoma" w:hAnsi="Tahoma" w:cs="Tahoma"/>
          <w:i/>
          <w:sz w:val="22"/>
          <w:szCs w:val="22"/>
        </w:rPr>
        <w:t>Parliament v</w:t>
      </w:r>
      <w:r w:rsidR="00AA657F" w:rsidRPr="004215A9">
        <w:rPr>
          <w:rFonts w:ascii="Tahoma" w:hAnsi="Tahoma" w:cs="Tahoma"/>
          <w:i/>
          <w:sz w:val="22"/>
          <w:szCs w:val="22"/>
        </w:rPr>
        <w:t>.</w:t>
      </w:r>
      <w:r w:rsidRPr="004215A9">
        <w:rPr>
          <w:rFonts w:ascii="Tahoma" w:hAnsi="Tahoma" w:cs="Tahoma"/>
          <w:i/>
          <w:sz w:val="22"/>
          <w:szCs w:val="22"/>
        </w:rPr>
        <w:t xml:space="preserve"> Council</w:t>
      </w:r>
      <w:r w:rsidRPr="004215A9">
        <w:rPr>
          <w:rFonts w:ascii="Tahoma" w:hAnsi="Tahoma" w:cs="Tahoma"/>
          <w:sz w:val="22"/>
          <w:szCs w:val="22"/>
        </w:rPr>
        <w:t>, EU:C:1990:217, par. 22</w:t>
      </w:r>
      <w:r w:rsidR="00AA657F" w:rsidRPr="004215A9">
        <w:rPr>
          <w:rFonts w:ascii="Tahoma" w:hAnsi="Tahoma" w:cs="Tahoma"/>
          <w:sz w:val="22"/>
          <w:szCs w:val="22"/>
        </w:rPr>
        <w:t>.</w:t>
      </w:r>
    </w:p>
    <w:p w:rsidR="007257D0" w:rsidRPr="004215A9" w:rsidRDefault="007257D0" w:rsidP="007257D0">
      <w:pPr>
        <w:jc w:val="both"/>
        <w:rPr>
          <w:rFonts w:ascii="Tahoma" w:hAnsi="Tahoma" w:cs="Tahoma"/>
          <w:sz w:val="22"/>
          <w:szCs w:val="22"/>
        </w:rPr>
      </w:pPr>
      <w:r w:rsidRPr="004215A9">
        <w:rPr>
          <w:rFonts w:ascii="Tahoma" w:hAnsi="Tahoma" w:cs="Tahoma"/>
          <w:sz w:val="22"/>
          <w:szCs w:val="22"/>
        </w:rPr>
        <w:t>Case C</w:t>
      </w:r>
      <w:r w:rsidRPr="004215A9">
        <w:rPr>
          <w:rFonts w:ascii="Tahoma" w:hAnsi="Tahoma" w:cs="Tahoma"/>
          <w:sz w:val="22"/>
          <w:szCs w:val="22"/>
        </w:rPr>
        <w:noBreakHyphen/>
        <w:t xml:space="preserve">95/12, </w:t>
      </w:r>
      <w:r w:rsidRPr="004215A9">
        <w:rPr>
          <w:rFonts w:ascii="Tahoma" w:hAnsi="Tahoma" w:cs="Tahoma"/>
          <w:i/>
          <w:sz w:val="22"/>
          <w:szCs w:val="22"/>
        </w:rPr>
        <w:t>European Commission v. Federal Republic of Germany</w:t>
      </w:r>
      <w:r w:rsidRPr="004215A9">
        <w:rPr>
          <w:rFonts w:ascii="Tahoma" w:hAnsi="Tahoma" w:cs="Tahoma"/>
          <w:sz w:val="22"/>
          <w:szCs w:val="22"/>
        </w:rPr>
        <w:t>, not yet reported.</w:t>
      </w:r>
    </w:p>
    <w:p w:rsidR="007257D0" w:rsidRPr="004215A9" w:rsidRDefault="007257D0" w:rsidP="007257D0">
      <w:pPr>
        <w:jc w:val="both"/>
        <w:rPr>
          <w:rFonts w:ascii="Tahoma" w:hAnsi="Tahoma" w:cs="Tahoma"/>
          <w:sz w:val="22"/>
          <w:szCs w:val="22"/>
        </w:rPr>
      </w:pPr>
    </w:p>
    <w:p w:rsidR="007257D0" w:rsidRPr="004215A9" w:rsidRDefault="007257D0" w:rsidP="007257D0">
      <w:pPr>
        <w:rPr>
          <w:rFonts w:ascii="Tahoma" w:hAnsi="Tahoma" w:cs="Tahoma"/>
          <w:i/>
          <w:sz w:val="22"/>
          <w:szCs w:val="22"/>
        </w:rPr>
      </w:pPr>
      <w:r w:rsidRPr="004215A9">
        <w:rPr>
          <w:rFonts w:ascii="Tahoma" w:hAnsi="Tahoma" w:cs="Tahoma"/>
          <w:i/>
          <w:sz w:val="22"/>
          <w:szCs w:val="22"/>
        </w:rPr>
        <w:t>Internet sources</w:t>
      </w:r>
    </w:p>
    <w:p w:rsidR="007257D0" w:rsidRPr="004215A9" w:rsidRDefault="007257D0" w:rsidP="007257D0">
      <w:pPr>
        <w:jc w:val="both"/>
        <w:rPr>
          <w:rFonts w:ascii="Tahoma" w:hAnsi="Tahoma" w:cs="Tahoma"/>
          <w:sz w:val="22"/>
          <w:szCs w:val="22"/>
        </w:rPr>
      </w:pPr>
      <w:r w:rsidRPr="004215A9">
        <w:rPr>
          <w:rFonts w:ascii="Tahoma" w:hAnsi="Tahoma" w:cs="Tahoma"/>
          <w:sz w:val="22"/>
          <w:szCs w:val="22"/>
        </w:rPr>
        <w:t>http://ec.europa.eu/sport/library/documents/b24/xg-gg-201307-dlvrbl2-sept2013.pdf (last visited 22 Oct. 2013).</w:t>
      </w:r>
    </w:p>
    <w:p w:rsidR="007257D0" w:rsidRPr="004215A9" w:rsidRDefault="007257D0" w:rsidP="007257D0">
      <w:pPr>
        <w:rPr>
          <w:rFonts w:ascii="Tahoma" w:hAnsi="Tahoma" w:cs="Tahoma"/>
          <w:sz w:val="22"/>
          <w:szCs w:val="22"/>
        </w:rPr>
      </w:pPr>
    </w:p>
    <w:p w:rsidR="007257D0" w:rsidRPr="004215A9" w:rsidRDefault="007257D0" w:rsidP="007257D0">
      <w:pPr>
        <w:jc w:val="both"/>
        <w:rPr>
          <w:rFonts w:ascii="Tahoma" w:hAnsi="Tahoma" w:cs="Tahoma"/>
          <w:sz w:val="22"/>
          <w:szCs w:val="22"/>
        </w:rPr>
      </w:pPr>
      <w:r w:rsidRPr="004215A9">
        <w:rPr>
          <w:rFonts w:ascii="Tahoma" w:hAnsi="Tahoma" w:cs="Tahoma"/>
          <w:sz w:val="22"/>
          <w:szCs w:val="22"/>
        </w:rPr>
        <w:t>It is recommended to use abbreviations in footnotes and in parentheses, e.g. Art. 8; 3 Dec. 1990; para 45. Where cases are referenced in several footnotes, please use the case name and “cited supra note X”. For published works referred to more than once, use "author, op. cit. supra note x".</w:t>
      </w:r>
    </w:p>
    <w:p w:rsidR="007257D0" w:rsidRPr="004215A9" w:rsidRDefault="007257D0" w:rsidP="007257D0">
      <w:pPr>
        <w:rPr>
          <w:rFonts w:ascii="Tahoma" w:hAnsi="Tahoma" w:cs="Tahoma"/>
          <w:sz w:val="22"/>
          <w:szCs w:val="22"/>
        </w:rPr>
      </w:pPr>
    </w:p>
    <w:p w:rsidR="007257D0" w:rsidRPr="004215A9" w:rsidRDefault="007257D0" w:rsidP="007257D0">
      <w:pPr>
        <w:jc w:val="both"/>
        <w:rPr>
          <w:rFonts w:ascii="Tahoma" w:hAnsi="Tahoma" w:cs="Tahoma"/>
          <w:sz w:val="22"/>
          <w:szCs w:val="22"/>
        </w:rPr>
      </w:pPr>
      <w:r w:rsidRPr="004215A9">
        <w:rPr>
          <w:rFonts w:ascii="Tahoma" w:hAnsi="Tahoma" w:cs="Tahoma"/>
          <w:sz w:val="22"/>
          <w:szCs w:val="22"/>
        </w:rPr>
        <w:t>The Editors reserve the right to request corrections to manuscripts.</w:t>
      </w:r>
    </w:p>
    <w:sectPr w:rsidR="007257D0" w:rsidRPr="004215A9" w:rsidSect="00D741C2">
      <w:footerReference w:type="even" r:id="rId9"/>
      <w:footerReference w:type="default" r:id="rId10"/>
      <w:headerReference w:type="first" r:id="rId11"/>
      <w:pgSz w:w="11900" w:h="16840"/>
      <w:pgMar w:top="1134" w:right="1552" w:bottom="1440" w:left="1560" w:header="11" w:footer="95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7E6" w:rsidRDefault="00A667E6" w:rsidP="00403C61">
      <w:r>
        <w:separator/>
      </w:r>
    </w:p>
  </w:endnote>
  <w:endnote w:type="continuationSeparator" w:id="1">
    <w:p w:rsidR="00A667E6" w:rsidRDefault="00A667E6" w:rsidP="00403C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E4E" w:rsidRDefault="005F7764" w:rsidP="00F06400">
    <w:pPr>
      <w:pStyle w:val="Footer"/>
      <w:framePr w:wrap="around" w:vAnchor="text" w:hAnchor="margin" w:xAlign="right" w:y="1"/>
      <w:rPr>
        <w:rStyle w:val="PageNumber"/>
      </w:rPr>
    </w:pPr>
    <w:r>
      <w:rPr>
        <w:rStyle w:val="PageNumber"/>
      </w:rPr>
      <w:fldChar w:fldCharType="begin"/>
    </w:r>
    <w:r w:rsidR="00661E4E">
      <w:rPr>
        <w:rStyle w:val="PageNumber"/>
      </w:rPr>
      <w:instrText xml:space="preserve">PAGE  </w:instrText>
    </w:r>
    <w:r>
      <w:rPr>
        <w:rStyle w:val="PageNumber"/>
      </w:rPr>
      <w:fldChar w:fldCharType="end"/>
    </w:r>
  </w:p>
  <w:p w:rsidR="00661E4E" w:rsidRDefault="00661E4E" w:rsidP="00403C6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E4E" w:rsidRDefault="00661E4E" w:rsidP="00403C6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7E6" w:rsidRDefault="00A667E6" w:rsidP="00403C61">
      <w:r>
        <w:separator/>
      </w:r>
    </w:p>
  </w:footnote>
  <w:footnote w:type="continuationSeparator" w:id="1">
    <w:p w:rsidR="00A667E6" w:rsidRDefault="00A667E6" w:rsidP="00403C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1C2" w:rsidRDefault="00D741C2" w:rsidP="00D741C2">
    <w:pPr>
      <w:pStyle w:val="Header"/>
      <w:ind w:left="-1560"/>
    </w:pPr>
    <w:r>
      <w:rPr>
        <w:noProof/>
      </w:rPr>
      <w:drawing>
        <wp:inline distT="0" distB="0" distL="0" distR="0">
          <wp:extent cx="7693573" cy="1292772"/>
          <wp:effectExtent l="0" t="0" r="3175" b="317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94097" cy="129286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D138A"/>
    <w:multiLevelType w:val="hybridMultilevel"/>
    <w:tmpl w:val="A900E5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E766DC1"/>
    <w:multiLevelType w:val="hybridMultilevel"/>
    <w:tmpl w:val="24B82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hideSpellingErrors/>
  <w:hideGrammaticalErrors/>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965A27"/>
    <w:rsid w:val="00014E95"/>
    <w:rsid w:val="00025783"/>
    <w:rsid w:val="00057D57"/>
    <w:rsid w:val="000A2284"/>
    <w:rsid w:val="000C268E"/>
    <w:rsid w:val="00117B77"/>
    <w:rsid w:val="001E5DF8"/>
    <w:rsid w:val="0027387F"/>
    <w:rsid w:val="0029625B"/>
    <w:rsid w:val="002A0556"/>
    <w:rsid w:val="002A1C2B"/>
    <w:rsid w:val="002D26D5"/>
    <w:rsid w:val="00314DC4"/>
    <w:rsid w:val="00351084"/>
    <w:rsid w:val="00352133"/>
    <w:rsid w:val="003942F3"/>
    <w:rsid w:val="003A51D2"/>
    <w:rsid w:val="003D01BB"/>
    <w:rsid w:val="0040084E"/>
    <w:rsid w:val="00403C61"/>
    <w:rsid w:val="004059AC"/>
    <w:rsid w:val="004215A9"/>
    <w:rsid w:val="004308FC"/>
    <w:rsid w:val="004329D0"/>
    <w:rsid w:val="00437EC3"/>
    <w:rsid w:val="00455020"/>
    <w:rsid w:val="00475F5E"/>
    <w:rsid w:val="004C1E80"/>
    <w:rsid w:val="004D6F03"/>
    <w:rsid w:val="00501A22"/>
    <w:rsid w:val="00527924"/>
    <w:rsid w:val="0055361E"/>
    <w:rsid w:val="00570DB4"/>
    <w:rsid w:val="005B6627"/>
    <w:rsid w:val="005D1FFA"/>
    <w:rsid w:val="005F7764"/>
    <w:rsid w:val="005F7B48"/>
    <w:rsid w:val="00613660"/>
    <w:rsid w:val="006420C6"/>
    <w:rsid w:val="00661E4E"/>
    <w:rsid w:val="006636C3"/>
    <w:rsid w:val="006A0052"/>
    <w:rsid w:val="006C3034"/>
    <w:rsid w:val="007068CD"/>
    <w:rsid w:val="007132E1"/>
    <w:rsid w:val="007257D0"/>
    <w:rsid w:val="00731DA1"/>
    <w:rsid w:val="00735113"/>
    <w:rsid w:val="00762F8F"/>
    <w:rsid w:val="007667A2"/>
    <w:rsid w:val="00767B63"/>
    <w:rsid w:val="00782348"/>
    <w:rsid w:val="00790474"/>
    <w:rsid w:val="007F4C35"/>
    <w:rsid w:val="00893BFA"/>
    <w:rsid w:val="008E3A85"/>
    <w:rsid w:val="00921CD3"/>
    <w:rsid w:val="00933689"/>
    <w:rsid w:val="00935E4D"/>
    <w:rsid w:val="00965A27"/>
    <w:rsid w:val="00970C3B"/>
    <w:rsid w:val="009B1CB7"/>
    <w:rsid w:val="009D023E"/>
    <w:rsid w:val="00A5380C"/>
    <w:rsid w:val="00A667E6"/>
    <w:rsid w:val="00A73DED"/>
    <w:rsid w:val="00A8153C"/>
    <w:rsid w:val="00AA3531"/>
    <w:rsid w:val="00AA657F"/>
    <w:rsid w:val="00B0023A"/>
    <w:rsid w:val="00B15D7B"/>
    <w:rsid w:val="00B62A3D"/>
    <w:rsid w:val="00B96546"/>
    <w:rsid w:val="00BD73A1"/>
    <w:rsid w:val="00BE1237"/>
    <w:rsid w:val="00C237CB"/>
    <w:rsid w:val="00C54762"/>
    <w:rsid w:val="00C93A6E"/>
    <w:rsid w:val="00CA5DF7"/>
    <w:rsid w:val="00CA7C2F"/>
    <w:rsid w:val="00CD6DE2"/>
    <w:rsid w:val="00CF20CC"/>
    <w:rsid w:val="00D15847"/>
    <w:rsid w:val="00D45CE7"/>
    <w:rsid w:val="00D741C2"/>
    <w:rsid w:val="00D80ECC"/>
    <w:rsid w:val="00DA2837"/>
    <w:rsid w:val="00DC41C4"/>
    <w:rsid w:val="00DC480C"/>
    <w:rsid w:val="00DD5946"/>
    <w:rsid w:val="00EA762F"/>
    <w:rsid w:val="00EB3F74"/>
    <w:rsid w:val="00EC13D7"/>
    <w:rsid w:val="00ED5178"/>
    <w:rsid w:val="00F06400"/>
    <w:rsid w:val="00F23F3B"/>
    <w:rsid w:val="00F3194A"/>
    <w:rsid w:val="00F6681B"/>
    <w:rsid w:val="00FB201A"/>
    <w:rsid w:val="00FC49B2"/>
    <w:rsid w:val="00FD0634"/>
    <w:rsid w:val="00FF0C9F"/>
    <w:rsid w:val="00FF33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E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23E"/>
    <w:pPr>
      <w:ind w:left="720"/>
      <w:contextualSpacing/>
    </w:pPr>
  </w:style>
  <w:style w:type="paragraph" w:styleId="Footer">
    <w:name w:val="footer"/>
    <w:basedOn w:val="Normal"/>
    <w:link w:val="FooterChar"/>
    <w:uiPriority w:val="99"/>
    <w:unhideWhenUsed/>
    <w:rsid w:val="00403C61"/>
    <w:pPr>
      <w:tabs>
        <w:tab w:val="center" w:pos="4320"/>
        <w:tab w:val="right" w:pos="8640"/>
      </w:tabs>
    </w:pPr>
  </w:style>
  <w:style w:type="character" w:customStyle="1" w:styleId="FooterChar">
    <w:name w:val="Footer Char"/>
    <w:basedOn w:val="DefaultParagraphFont"/>
    <w:link w:val="Footer"/>
    <w:uiPriority w:val="99"/>
    <w:rsid w:val="00403C61"/>
  </w:style>
  <w:style w:type="character" w:styleId="PageNumber">
    <w:name w:val="page number"/>
    <w:basedOn w:val="DefaultParagraphFont"/>
    <w:uiPriority w:val="99"/>
    <w:semiHidden/>
    <w:unhideWhenUsed/>
    <w:rsid w:val="00403C61"/>
  </w:style>
  <w:style w:type="character" w:styleId="Hyperlink">
    <w:name w:val="Hyperlink"/>
    <w:basedOn w:val="DefaultParagraphFont"/>
    <w:uiPriority w:val="99"/>
    <w:unhideWhenUsed/>
    <w:rsid w:val="00767B63"/>
    <w:rPr>
      <w:color w:val="0000FF" w:themeColor="hyperlink"/>
      <w:u w:val="single"/>
    </w:rPr>
  </w:style>
  <w:style w:type="character" w:styleId="FollowedHyperlink">
    <w:name w:val="FollowedHyperlink"/>
    <w:basedOn w:val="DefaultParagraphFont"/>
    <w:uiPriority w:val="99"/>
    <w:semiHidden/>
    <w:unhideWhenUsed/>
    <w:rsid w:val="00661E4E"/>
    <w:rPr>
      <w:color w:val="800080" w:themeColor="followedHyperlink"/>
      <w:u w:val="single"/>
    </w:rPr>
  </w:style>
  <w:style w:type="paragraph" w:styleId="NormalWeb">
    <w:name w:val="Normal (Web)"/>
    <w:basedOn w:val="Normal"/>
    <w:uiPriority w:val="99"/>
    <w:semiHidden/>
    <w:unhideWhenUsed/>
    <w:rsid w:val="0027387F"/>
    <w:pPr>
      <w:spacing w:before="100" w:beforeAutospacing="1" w:after="100" w:afterAutospacing="1"/>
    </w:pPr>
    <w:rPr>
      <w:rFonts w:ascii="Times New Roman" w:eastAsia="Times New Roman" w:hAnsi="Times New Roman" w:cs="Times New Roman"/>
      <w:lang w:val="el-GR" w:eastAsia="el-GR"/>
    </w:rPr>
  </w:style>
  <w:style w:type="character" w:styleId="Strong">
    <w:name w:val="Strong"/>
    <w:basedOn w:val="DefaultParagraphFont"/>
    <w:uiPriority w:val="22"/>
    <w:qFormat/>
    <w:rsid w:val="00933689"/>
    <w:rPr>
      <w:b/>
      <w:bCs/>
    </w:rPr>
  </w:style>
  <w:style w:type="character" w:styleId="Emphasis">
    <w:name w:val="Emphasis"/>
    <w:basedOn w:val="DefaultParagraphFont"/>
    <w:uiPriority w:val="20"/>
    <w:qFormat/>
    <w:rsid w:val="00933689"/>
    <w:rPr>
      <w:i/>
      <w:iCs/>
    </w:rPr>
  </w:style>
  <w:style w:type="paragraph" w:styleId="Header">
    <w:name w:val="header"/>
    <w:basedOn w:val="Normal"/>
    <w:link w:val="HeaderChar"/>
    <w:uiPriority w:val="99"/>
    <w:unhideWhenUsed/>
    <w:rsid w:val="007257D0"/>
    <w:pPr>
      <w:tabs>
        <w:tab w:val="center" w:pos="4153"/>
        <w:tab w:val="right" w:pos="8306"/>
      </w:tabs>
    </w:pPr>
  </w:style>
  <w:style w:type="character" w:customStyle="1" w:styleId="HeaderChar">
    <w:name w:val="Header Char"/>
    <w:basedOn w:val="DefaultParagraphFont"/>
    <w:link w:val="Header"/>
    <w:uiPriority w:val="99"/>
    <w:rsid w:val="007257D0"/>
  </w:style>
  <w:style w:type="paragraph" w:styleId="BalloonText">
    <w:name w:val="Balloon Text"/>
    <w:basedOn w:val="Normal"/>
    <w:link w:val="BalloonTextChar"/>
    <w:uiPriority w:val="99"/>
    <w:semiHidden/>
    <w:unhideWhenUsed/>
    <w:rsid w:val="00D741C2"/>
    <w:rPr>
      <w:rFonts w:ascii="Tahoma" w:hAnsi="Tahoma" w:cs="Tahoma"/>
      <w:sz w:val="16"/>
      <w:szCs w:val="16"/>
    </w:rPr>
  </w:style>
  <w:style w:type="character" w:customStyle="1" w:styleId="BalloonTextChar">
    <w:name w:val="Balloon Text Char"/>
    <w:basedOn w:val="DefaultParagraphFont"/>
    <w:link w:val="BalloonText"/>
    <w:uiPriority w:val="99"/>
    <w:semiHidden/>
    <w:rsid w:val="00D741C2"/>
    <w:rPr>
      <w:rFonts w:ascii="Tahoma" w:hAnsi="Tahoma" w:cs="Tahoma"/>
      <w:sz w:val="16"/>
      <w:szCs w:val="16"/>
    </w:rPr>
  </w:style>
  <w:style w:type="character" w:styleId="CommentReference">
    <w:name w:val="annotation reference"/>
    <w:basedOn w:val="DefaultParagraphFont"/>
    <w:uiPriority w:val="99"/>
    <w:semiHidden/>
    <w:unhideWhenUsed/>
    <w:rsid w:val="0029625B"/>
    <w:rPr>
      <w:sz w:val="16"/>
      <w:szCs w:val="16"/>
    </w:rPr>
  </w:style>
  <w:style w:type="paragraph" w:styleId="CommentText">
    <w:name w:val="annotation text"/>
    <w:basedOn w:val="Normal"/>
    <w:link w:val="CommentTextChar"/>
    <w:uiPriority w:val="99"/>
    <w:semiHidden/>
    <w:unhideWhenUsed/>
    <w:rsid w:val="0029625B"/>
    <w:rPr>
      <w:sz w:val="20"/>
      <w:szCs w:val="20"/>
    </w:rPr>
  </w:style>
  <w:style w:type="character" w:customStyle="1" w:styleId="CommentTextChar">
    <w:name w:val="Comment Text Char"/>
    <w:basedOn w:val="DefaultParagraphFont"/>
    <w:link w:val="CommentText"/>
    <w:uiPriority w:val="99"/>
    <w:semiHidden/>
    <w:rsid w:val="0029625B"/>
    <w:rPr>
      <w:sz w:val="20"/>
      <w:szCs w:val="20"/>
    </w:rPr>
  </w:style>
  <w:style w:type="paragraph" w:styleId="CommentSubject">
    <w:name w:val="annotation subject"/>
    <w:basedOn w:val="CommentText"/>
    <w:next w:val="CommentText"/>
    <w:link w:val="CommentSubjectChar"/>
    <w:uiPriority w:val="99"/>
    <w:semiHidden/>
    <w:unhideWhenUsed/>
    <w:rsid w:val="0029625B"/>
    <w:rPr>
      <w:b/>
      <w:bCs/>
    </w:rPr>
  </w:style>
  <w:style w:type="character" w:customStyle="1" w:styleId="CommentSubjectChar">
    <w:name w:val="Comment Subject Char"/>
    <w:basedOn w:val="CommentTextChar"/>
    <w:link w:val="CommentSubject"/>
    <w:uiPriority w:val="99"/>
    <w:semiHidden/>
    <w:rsid w:val="0029625B"/>
    <w:rPr>
      <w:b/>
      <w:bCs/>
      <w:sz w:val="20"/>
      <w:szCs w:val="20"/>
    </w:rPr>
  </w:style>
  <w:style w:type="paragraph" w:customStyle="1" w:styleId="xmsonormal">
    <w:name w:val="x_msonormal"/>
    <w:basedOn w:val="Normal"/>
    <w:rsid w:val="00475F5E"/>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77605194">
      <w:bodyDiv w:val="1"/>
      <w:marLeft w:val="0"/>
      <w:marRight w:val="0"/>
      <w:marTop w:val="0"/>
      <w:marBottom w:val="0"/>
      <w:divBdr>
        <w:top w:val="none" w:sz="0" w:space="0" w:color="auto"/>
        <w:left w:val="none" w:sz="0" w:space="0" w:color="auto"/>
        <w:bottom w:val="none" w:sz="0" w:space="0" w:color="auto"/>
        <w:right w:val="none" w:sz="0" w:space="0" w:color="auto"/>
      </w:divBdr>
    </w:div>
    <w:div w:id="696200595">
      <w:bodyDiv w:val="1"/>
      <w:marLeft w:val="0"/>
      <w:marRight w:val="0"/>
      <w:marTop w:val="0"/>
      <w:marBottom w:val="0"/>
      <w:divBdr>
        <w:top w:val="none" w:sz="0" w:space="0" w:color="auto"/>
        <w:left w:val="none" w:sz="0" w:space="0" w:color="auto"/>
        <w:bottom w:val="none" w:sz="0" w:space="0" w:color="auto"/>
        <w:right w:val="none" w:sz="0" w:space="0" w:color="auto"/>
      </w:divBdr>
      <w:divsChild>
        <w:div w:id="1322390036">
          <w:marLeft w:val="0"/>
          <w:marRight w:val="0"/>
          <w:marTop w:val="330"/>
          <w:marBottom w:val="0"/>
          <w:divBdr>
            <w:top w:val="none" w:sz="0" w:space="0" w:color="auto"/>
            <w:left w:val="none" w:sz="0" w:space="0" w:color="auto"/>
            <w:bottom w:val="none" w:sz="0" w:space="0" w:color="auto"/>
            <w:right w:val="none" w:sz="0" w:space="0" w:color="auto"/>
          </w:divBdr>
          <w:divsChild>
            <w:div w:id="14359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4786">
      <w:bodyDiv w:val="1"/>
      <w:marLeft w:val="0"/>
      <w:marRight w:val="0"/>
      <w:marTop w:val="0"/>
      <w:marBottom w:val="0"/>
      <w:divBdr>
        <w:top w:val="none" w:sz="0" w:space="0" w:color="auto"/>
        <w:left w:val="none" w:sz="0" w:space="0" w:color="auto"/>
        <w:bottom w:val="none" w:sz="0" w:space="0" w:color="auto"/>
        <w:right w:val="none" w:sz="0" w:space="0" w:color="auto"/>
      </w:divBdr>
      <w:divsChild>
        <w:div w:id="2007513083">
          <w:marLeft w:val="0"/>
          <w:marRight w:val="0"/>
          <w:marTop w:val="0"/>
          <w:marBottom w:val="0"/>
          <w:divBdr>
            <w:top w:val="none" w:sz="0" w:space="0" w:color="auto"/>
            <w:left w:val="none" w:sz="0" w:space="0" w:color="auto"/>
            <w:bottom w:val="none" w:sz="0" w:space="0" w:color="auto"/>
            <w:right w:val="none" w:sz="0" w:space="0" w:color="auto"/>
          </w:divBdr>
        </w:div>
        <w:div w:id="110847601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lopublications.eu/europeanpoliteia.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374E7-55A6-4CCC-B736-74D6300F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1070</Words>
  <Characters>6100</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Nikolaos Scandamis</dc:creator>
  <cp:lastModifiedBy>Sandra Manioudaki</cp:lastModifiedBy>
  <cp:revision>2</cp:revision>
  <cp:lastPrinted>2016-02-09T17:15:00Z</cp:lastPrinted>
  <dcterms:created xsi:type="dcterms:W3CDTF">2019-01-03T12:59:00Z</dcterms:created>
  <dcterms:modified xsi:type="dcterms:W3CDTF">2019-01-03T12:59:00Z</dcterms:modified>
</cp:coreProperties>
</file>