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C2" w:rsidRDefault="00D741C2" w:rsidP="00D741C2">
      <w:pPr>
        <w:pStyle w:val="NormalWeb"/>
        <w:jc w:val="center"/>
        <w:rPr>
          <w:rFonts w:ascii="Verdana" w:hAnsi="Verdana" w:cs="Tahoma"/>
          <w:spacing w:val="28"/>
          <w:w w:val="120"/>
          <w:sz w:val="32"/>
          <w:lang w:val="en-US"/>
        </w:rPr>
      </w:pPr>
    </w:p>
    <w:p w:rsidR="0027387F" w:rsidRPr="00475F5E" w:rsidRDefault="0027387F" w:rsidP="00D741C2">
      <w:pPr>
        <w:pStyle w:val="NormalWeb"/>
        <w:jc w:val="center"/>
        <w:rPr>
          <w:rFonts w:ascii="Verdana" w:hAnsi="Verdana" w:cs="Tahoma"/>
          <w:spacing w:val="28"/>
          <w:w w:val="120"/>
          <w:sz w:val="32"/>
          <w:lang w:val="en-US"/>
        </w:rPr>
      </w:pPr>
      <w:r w:rsidRPr="00475F5E">
        <w:rPr>
          <w:rFonts w:ascii="Verdana" w:hAnsi="Verdana" w:cs="Tahoma"/>
          <w:spacing w:val="28"/>
          <w:w w:val="120"/>
          <w:sz w:val="32"/>
          <w:lang w:val="en-US"/>
        </w:rPr>
        <w:t>CALL FOR PAPERS</w:t>
      </w:r>
    </w:p>
    <w:p w:rsidR="007667A2" w:rsidRPr="00475F5E" w:rsidRDefault="007667A2" w:rsidP="00D741C2">
      <w:pPr>
        <w:pStyle w:val="NormalWeb"/>
        <w:jc w:val="center"/>
        <w:rPr>
          <w:rFonts w:ascii="Verdana" w:hAnsi="Verdana" w:cs="Tahoma"/>
          <w:spacing w:val="28"/>
          <w:w w:val="120"/>
          <w:sz w:val="20"/>
          <w:lang w:val="en-US"/>
        </w:rPr>
      </w:pPr>
    </w:p>
    <w:p w:rsidR="0027387F" w:rsidRPr="00475F5E"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 xml:space="preserve">EUROPEAN POLITEIA is inviting papers for </w:t>
      </w:r>
      <w:r w:rsidR="00B96546">
        <w:rPr>
          <w:rFonts w:ascii="Verdana" w:hAnsi="Verdana" w:cs="Tahoma"/>
          <w:lang w:val="en-US"/>
        </w:rPr>
        <w:t xml:space="preserve">the next </w:t>
      </w:r>
      <w:r w:rsidRPr="00475F5E">
        <w:rPr>
          <w:rFonts w:ascii="Verdana" w:hAnsi="Verdana" w:cs="Tahoma"/>
          <w:lang w:val="en-US"/>
        </w:rPr>
        <w:t>issue</w:t>
      </w:r>
      <w:r w:rsidR="00B96546">
        <w:rPr>
          <w:rFonts w:ascii="Verdana" w:hAnsi="Verdana" w:cs="Tahoma"/>
          <w:lang w:val="en-US"/>
        </w:rPr>
        <w:t>.</w:t>
      </w:r>
    </w:p>
    <w:p w:rsidR="0027387F"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Last date of submission:</w:t>
      </w:r>
      <w:r w:rsidR="00B96546">
        <w:rPr>
          <w:rFonts w:ascii="Verdana" w:hAnsi="Verdana" w:cs="Tahoma"/>
          <w:lang w:val="en-US"/>
        </w:rPr>
        <w:t xml:space="preserve"> 30.04.2019.</w:t>
      </w:r>
    </w:p>
    <w:p w:rsidR="00B96546" w:rsidRPr="00475F5E" w:rsidRDefault="00B96546" w:rsidP="00933689">
      <w:pPr>
        <w:pStyle w:val="NormalWeb"/>
        <w:spacing w:before="240" w:beforeAutospacing="0" w:after="240" w:afterAutospacing="0"/>
        <w:jc w:val="center"/>
        <w:rPr>
          <w:rFonts w:ascii="Verdana" w:hAnsi="Verdana" w:cs="Tahoma"/>
          <w:lang w:val="en-US"/>
        </w:rPr>
      </w:pPr>
      <w:r>
        <w:rPr>
          <w:rFonts w:ascii="Verdana" w:hAnsi="Verdana" w:cs="Tahoma"/>
          <w:lang w:val="en-US"/>
        </w:rPr>
        <w:t>A previous, brief presentation (300 words) of the essay is required.</w:t>
      </w:r>
    </w:p>
    <w:p w:rsidR="0027387F" w:rsidRPr="00475F5E" w:rsidRDefault="005C5F34" w:rsidP="0027387F">
      <w:pPr>
        <w:pStyle w:val="NormalWeb"/>
        <w:spacing w:before="240" w:beforeAutospacing="0" w:after="240" w:afterAutospacing="0"/>
        <w:jc w:val="both"/>
        <w:rPr>
          <w:rFonts w:ascii="Verdana" w:hAnsi="Verdana" w:cs="Tahoma"/>
          <w:lang w:val="en-US"/>
        </w:rPr>
      </w:pPr>
      <w:r w:rsidRPr="005C5F34">
        <w:rPr>
          <w:rFonts w:ascii="Verdana" w:hAnsi="Verdana" w:cs="Tahoma"/>
          <w:noProof/>
          <w:lang w:val="en-US"/>
        </w:rPr>
        <w:pict>
          <v:rect id="_x0000_i1025" alt="" style="width:439.4pt;height:.05pt;mso-width-percent:0;mso-height-percent:0;mso-width-percent:0;mso-height-percent:0" o:hralign="center" o:hrstd="t" o:hr="t" fillcolor="#a0a0a0" stroked="f"/>
        </w:pict>
      </w:r>
    </w:p>
    <w:p w:rsidR="00933689"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Journal</w:t>
      </w:r>
    </w:p>
    <w:p w:rsidR="00D741C2"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European Politeia</w:t>
      </w:r>
      <w:r w:rsidRPr="004215A9">
        <w:rPr>
          <w:rFonts w:ascii="Tahoma" w:hAnsi="Tahoma" w:cs="Tahoma"/>
          <w:sz w:val="22"/>
          <w:szCs w:val="22"/>
          <w:lang w:val="en-US"/>
        </w:rPr>
        <w:t xml:space="preserve"> is a bi-annual journal of European law, public affairs and society published by the European Public Law Organization under the scientific supervision of the Greek Center of European Studies and Research (EKEME) of the EPLO. </w:t>
      </w:r>
    </w:p>
    <w:p w:rsidR="0027387F"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sz w:val="22"/>
          <w:szCs w:val="22"/>
          <w:lang w:val="en-US"/>
        </w:rPr>
        <w:t>The aim of this publication is to provide an additional forum for the ongoing debates on a broad range of issues and particularly those that transcend individual countries. It will hopefully make relevant voices from the South of Europe more accessible to a broader audience. It will be a rewarding exercise to draw from the expertise of many scholars from Greece and other countries. The publication will be open to various theoretical and political perspectives that spring from different experiences and methodological traditions. We do not intend to narrow the frame of the debates.</w:t>
      </w:r>
    </w:p>
    <w:p w:rsidR="00F23F3B"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Publisher</w:t>
      </w:r>
    </w:p>
    <w:p w:rsidR="00933689" w:rsidRPr="004215A9" w:rsidRDefault="00933689" w:rsidP="00933689">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 xml:space="preserve">The European Public Law Organization (EPLO) </w:t>
      </w:r>
      <w:r w:rsidRPr="004215A9">
        <w:rPr>
          <w:rFonts w:ascii="Tahoma" w:hAnsi="Tahoma" w:cs="Tahoma"/>
          <w:sz w:val="22"/>
          <w:szCs w:val="22"/>
          <w:lang w:val="en-US"/>
        </w:rPr>
        <w:t xml:space="preserve">is an international organization dedicated to the creation and dissemination of knowledge in the area of Public Law </w:t>
      </w:r>
      <w:r w:rsidRPr="004215A9">
        <w:rPr>
          <w:rFonts w:ascii="Tahoma" w:hAnsi="Tahoma" w:cs="Tahoma"/>
          <w:i/>
          <w:sz w:val="22"/>
          <w:szCs w:val="22"/>
          <w:lang w:val="en-US"/>
        </w:rPr>
        <w:t>latosensu</w:t>
      </w:r>
      <w:r w:rsidRPr="004215A9">
        <w:rPr>
          <w:rFonts w:ascii="Tahoma" w:hAnsi="Tahoma" w:cs="Tahoma"/>
          <w:sz w:val="22"/>
          <w:szCs w:val="22"/>
          <w:lang w:val="en-US"/>
        </w:rPr>
        <w:t xml:space="preserve"> and Governance, including but not limited to, </w:t>
      </w:r>
      <w:r w:rsidRPr="004215A9">
        <w:rPr>
          <w:rFonts w:ascii="Tahoma" w:hAnsi="Tahoma" w:cs="Tahoma"/>
          <w:i/>
          <w:sz w:val="22"/>
          <w:szCs w:val="22"/>
          <w:lang w:val="en-US"/>
        </w:rPr>
        <w:t>inter alia</w:t>
      </w:r>
      <w:r w:rsidRPr="004215A9">
        <w:rPr>
          <w:rFonts w:ascii="Tahoma" w:hAnsi="Tahoma" w:cs="Tahoma"/>
          <w:sz w:val="22"/>
          <w:szCs w:val="22"/>
          <w:lang w:val="en-US"/>
        </w:rPr>
        <w:t>, national, comparative and European public law, human rights law and environmental law and the promotion of European values for a better generation of lawyers and democratic institutions worldwide. The EPLO was established in 2007 in Athens, Greece, as the continuation of the European Public Law Center (EPLC), a non-profit institution of international character, established in 1995 under the Law of the Hellenic Republic. To this date, it has developed, organized, promoted and supported close to 200 educational, research, training, institution building and other activities and has provided assistance to democratic institutions in more than 70 countries. In order to accomplish its purposes, the EPLO promotes the cooperation with other institutions, organizations and bodies, in particular organizations in the United Nations system.</w:t>
      </w:r>
    </w:p>
    <w:p w:rsidR="0027387F" w:rsidRPr="004215A9" w:rsidRDefault="00933689" w:rsidP="007667A2">
      <w:pPr>
        <w:spacing w:before="480" w:after="240"/>
        <w:jc w:val="center"/>
        <w:rPr>
          <w:rFonts w:ascii="Tahoma" w:hAnsi="Tahoma" w:cs="Tahoma"/>
          <w:sz w:val="22"/>
          <w:szCs w:val="22"/>
        </w:rPr>
      </w:pP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t>___________</w:t>
      </w:r>
    </w:p>
    <w:p w:rsidR="007257D0" w:rsidRPr="004215A9" w:rsidRDefault="007257D0" w:rsidP="00F23F3B">
      <w:pPr>
        <w:rPr>
          <w:rFonts w:ascii="Tahoma" w:hAnsi="Tahoma" w:cs="Tahoma"/>
          <w:sz w:val="22"/>
          <w:szCs w:val="22"/>
        </w:rPr>
      </w:pPr>
    </w:p>
    <w:p w:rsidR="00D741C2" w:rsidRPr="004215A9" w:rsidRDefault="00D741C2">
      <w:pPr>
        <w:rPr>
          <w:rFonts w:ascii="Tahoma" w:hAnsi="Tahoma" w:cs="Tahoma"/>
          <w:sz w:val="22"/>
          <w:szCs w:val="22"/>
        </w:rPr>
      </w:pPr>
    </w:p>
    <w:p w:rsidR="00F23F3B" w:rsidRPr="002B4E26" w:rsidRDefault="00731DA1" w:rsidP="002B4E26">
      <w:pPr>
        <w:rPr>
          <w:rFonts w:ascii="Tahoma" w:hAnsi="Tahoma" w:cs="Tahoma"/>
          <w:sz w:val="22"/>
          <w:szCs w:val="22"/>
        </w:rPr>
      </w:pPr>
      <w:r w:rsidRPr="002B4E26">
        <w:rPr>
          <w:rFonts w:ascii="Tahoma" w:hAnsi="Tahoma" w:cs="Tahoma"/>
          <w:sz w:val="22"/>
          <w:szCs w:val="22"/>
        </w:rPr>
        <w:t>EUROPEAN POLITEIA</w:t>
      </w:r>
    </w:p>
    <w:p w:rsidR="002A0556" w:rsidRPr="002B4E26" w:rsidRDefault="002A0556" w:rsidP="002B4E26">
      <w:pPr>
        <w:rPr>
          <w:rFonts w:ascii="Tahoma" w:hAnsi="Tahoma" w:cs="Tahoma"/>
          <w:sz w:val="22"/>
          <w:szCs w:val="22"/>
        </w:rPr>
      </w:pPr>
      <w:r w:rsidRPr="002B4E26">
        <w:rPr>
          <w:rFonts w:ascii="Tahoma" w:hAnsi="Tahoma" w:cs="Tahoma"/>
          <w:sz w:val="22"/>
          <w:szCs w:val="22"/>
        </w:rPr>
        <w:t xml:space="preserve">ISSN </w:t>
      </w:r>
    </w:p>
    <w:p w:rsidR="00F23F3B" w:rsidRPr="002B4E26" w:rsidRDefault="00F23F3B" w:rsidP="002B4E26">
      <w:pPr>
        <w:jc w:val="right"/>
        <w:rPr>
          <w:rFonts w:ascii="Tahoma" w:hAnsi="Tahoma" w:cs="Tahoma"/>
          <w:sz w:val="22"/>
          <w:szCs w:val="22"/>
        </w:rPr>
      </w:pPr>
    </w:p>
    <w:p w:rsidR="00A8153C" w:rsidRPr="002B4E26" w:rsidRDefault="00A8153C" w:rsidP="002B4E26">
      <w:pPr>
        <w:jc w:val="center"/>
        <w:rPr>
          <w:rFonts w:ascii="Tahoma" w:hAnsi="Tahoma" w:cs="Tahoma"/>
          <w:b/>
          <w:sz w:val="22"/>
          <w:szCs w:val="22"/>
        </w:rPr>
      </w:pPr>
    </w:p>
    <w:p w:rsidR="00F63BD1" w:rsidRPr="002B4E26" w:rsidRDefault="00F63BD1" w:rsidP="002B4E26">
      <w:pPr>
        <w:rPr>
          <w:rFonts w:ascii="Tahoma" w:hAnsi="Tahoma" w:cs="Tahoma"/>
          <w:b/>
          <w:sz w:val="22"/>
          <w:szCs w:val="22"/>
        </w:rPr>
      </w:pPr>
      <w:r w:rsidRPr="002B4E26">
        <w:rPr>
          <w:rFonts w:ascii="Tahoma" w:hAnsi="Tahoma" w:cs="Tahoma"/>
          <w:b/>
          <w:sz w:val="22"/>
          <w:szCs w:val="22"/>
        </w:rPr>
        <w:t xml:space="preserve">Ten Years since the Lisbon Treaty </w:t>
      </w:r>
    </w:p>
    <w:p w:rsidR="00F63BD1" w:rsidRPr="002B4E26" w:rsidRDefault="00F63BD1" w:rsidP="002B4E26">
      <w:pPr>
        <w:rPr>
          <w:rFonts w:ascii="Tahoma" w:hAnsi="Tahoma" w:cs="Tahoma"/>
          <w:sz w:val="22"/>
          <w:szCs w:val="22"/>
        </w:rPr>
      </w:pPr>
    </w:p>
    <w:p w:rsidR="00F63BD1" w:rsidRPr="002B4E26" w:rsidRDefault="00F63BD1" w:rsidP="002B4E26">
      <w:pPr>
        <w:jc w:val="both"/>
        <w:rPr>
          <w:rFonts w:ascii="Tahoma" w:eastAsia="Times New Roman" w:hAnsi="Tahoma" w:cs="Tahoma"/>
          <w:i/>
          <w:sz w:val="22"/>
          <w:szCs w:val="22"/>
          <w:lang w:eastAsia="el-GR"/>
        </w:rPr>
      </w:pPr>
      <w:r w:rsidRPr="002B4E26">
        <w:rPr>
          <w:rFonts w:ascii="Tahoma" w:eastAsia="Times New Roman" w:hAnsi="Tahoma" w:cs="Tahoma"/>
          <w:i/>
          <w:sz w:val="22"/>
          <w:szCs w:val="22"/>
          <w:lang w:eastAsia="el-GR"/>
        </w:rPr>
        <w:t>The Lisbon Treaty was the controversial successor to the European Union’s “Constitutional Treaty”. It was characterized by some as a compromise between the proponets and the opponents of the unification, by others as a retreat of the integration project, and by many as a step forward towards the United States of Europe. Its purpose was not only practical, namely to help the Union function more smoothly with 28 instead of 15 Member States, but mainly teleological, that is to provide a crucial boost to the integration project by clarifying once and for all the lines between the role of the Member States and that of the Union, and strengthen the latter to cope with the challenges of the new era.</w:t>
      </w:r>
    </w:p>
    <w:p w:rsidR="00F63BD1" w:rsidRPr="002B4E26" w:rsidRDefault="00F63BD1" w:rsidP="002B4E26">
      <w:pPr>
        <w:jc w:val="both"/>
        <w:rPr>
          <w:rFonts w:ascii="Tahoma" w:eastAsia="Times New Roman" w:hAnsi="Tahoma" w:cs="Tahoma"/>
          <w:i/>
          <w:sz w:val="22"/>
          <w:szCs w:val="22"/>
          <w:lang w:eastAsia="el-GR"/>
        </w:rPr>
      </w:pPr>
      <w:r w:rsidRPr="002B4E26">
        <w:rPr>
          <w:rFonts w:ascii="Tahoma" w:eastAsia="Times New Roman" w:hAnsi="Tahoma" w:cs="Tahoma"/>
          <w:i/>
          <w:sz w:val="22"/>
          <w:szCs w:val="22"/>
          <w:lang w:eastAsia="el-GR"/>
        </w:rPr>
        <w:t>Today, ten years since its entry into force, the question of whether the Lisbon Treaty has fulfilled the aspirations that followed its adoption remains controversial. Throughout the fields of EU law, politics, economy and societies, its rules and provided solutions were not considered as adequate when the EU faced challenges such as the economic crisis, the refugee problem, the withdrawal of the UK and the rise of eurosceptic political parties all around Europe. Nevertheless, the new structure and function of the EU, as established by the Lisbon Treaty, was the main framework that allowed for new, necessary paths to be drawn in order for solutions to be found.</w:t>
      </w:r>
    </w:p>
    <w:p w:rsidR="00F63BD1" w:rsidRPr="002B4E26" w:rsidRDefault="00F63BD1" w:rsidP="002B4E26">
      <w:pPr>
        <w:jc w:val="both"/>
        <w:rPr>
          <w:rFonts w:ascii="Tahoma" w:hAnsi="Tahoma" w:cs="Tahoma"/>
          <w:i/>
          <w:sz w:val="22"/>
          <w:szCs w:val="22"/>
        </w:rPr>
      </w:pPr>
      <w:r w:rsidRPr="002B4E26">
        <w:rPr>
          <w:rFonts w:ascii="Tahoma" w:hAnsi="Tahoma" w:cs="Tahoma"/>
          <w:i/>
          <w:sz w:val="22"/>
          <w:szCs w:val="22"/>
        </w:rPr>
        <w:t>The aim of the issue is to host views on the roads towards the European integration that the Lisbon Treaty opened or closed during the ten years of its force, as well as on its future prospects.</w:t>
      </w:r>
    </w:p>
    <w:p w:rsidR="00F63BD1" w:rsidRPr="002B4E26" w:rsidRDefault="00F63BD1" w:rsidP="002B4E26">
      <w:pPr>
        <w:jc w:val="both"/>
        <w:rPr>
          <w:rFonts w:ascii="Tahoma" w:hAnsi="Tahoma" w:cs="Tahoma"/>
          <w:i/>
          <w:sz w:val="22"/>
          <w:szCs w:val="22"/>
        </w:rPr>
      </w:pPr>
    </w:p>
    <w:p w:rsidR="00F63BD1" w:rsidRPr="002B4E26" w:rsidRDefault="00F63BD1" w:rsidP="002B4E26">
      <w:pPr>
        <w:pStyle w:val="xmsonormal"/>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b/>
          <w:bCs/>
          <w:color w:val="000000"/>
          <w:sz w:val="22"/>
          <w:szCs w:val="22"/>
        </w:rPr>
        <w:t>SUGGESTED THEMATICS</w:t>
      </w:r>
    </w:p>
    <w:p w:rsidR="00F63BD1" w:rsidRPr="002B4E26" w:rsidRDefault="00F63BD1" w:rsidP="002B4E26">
      <w:pPr>
        <w:pStyle w:val="xmsonormal"/>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 </w:t>
      </w:r>
    </w:p>
    <w:p w:rsidR="00F63BD1" w:rsidRPr="002B4E26" w:rsidRDefault="00F63BD1" w:rsidP="002B4E26">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 xml:space="preserve">Is the Lisbon Treaty a step forward or backwards in comparison to the Contitutional Treaty? </w:t>
      </w:r>
    </w:p>
    <w:p w:rsidR="00F63BD1" w:rsidRPr="002B4E26" w:rsidRDefault="00F63BD1" w:rsidP="002B4E26">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 xml:space="preserve">The functioning and the procedures in the EU after the Lisbon Treaty: Democracy vs Efficiency? </w:t>
      </w:r>
    </w:p>
    <w:p w:rsidR="00F63BD1" w:rsidRPr="002B4E26" w:rsidRDefault="00F63BD1" w:rsidP="002B4E26">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The fundamental rights’ protection in the EU legal order after the Lisbon Treaty: from the rising of the Charter to the dead-end of the EU’s accession to the ECHR?</w:t>
      </w:r>
    </w:p>
    <w:p w:rsidR="00F63BD1" w:rsidRPr="002B4E26" w:rsidRDefault="00F63BD1" w:rsidP="002B4E26">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 xml:space="preserve">Has the Lisbon Treaty helped or sabotaged the EU’s foreign, security and defence policy? </w:t>
      </w:r>
    </w:p>
    <w:p w:rsidR="00F63BD1" w:rsidRPr="002B4E26" w:rsidRDefault="00F63BD1" w:rsidP="002B4E26">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The “third pillar” after the Lisbon Treaty: How secure and just is our freedom?</w:t>
      </w:r>
    </w:p>
    <w:p w:rsidR="00F63BD1" w:rsidRPr="002B4E26" w:rsidRDefault="00F63BD1" w:rsidP="002B4E26">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Upholding the rule of law in the time of the Lisbon Treaty.</w:t>
      </w:r>
    </w:p>
    <w:p w:rsidR="00F63BD1" w:rsidRPr="002B4E26" w:rsidRDefault="00F63BD1" w:rsidP="002B4E26">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2B4E26">
        <w:rPr>
          <w:rFonts w:ascii="Tahoma" w:hAnsi="Tahoma" w:cs="Tahoma"/>
          <w:color w:val="000000"/>
          <w:sz w:val="22"/>
          <w:szCs w:val="22"/>
        </w:rPr>
        <w:t>Making the most of the Lisbon Treaty: the initiatives taken by the ECB while braving the economic crisis.</w:t>
      </w:r>
    </w:p>
    <w:p w:rsidR="00501A22" w:rsidRDefault="00501A22" w:rsidP="00475F5E">
      <w:pPr>
        <w:pStyle w:val="xmsonormal"/>
        <w:shd w:val="clear" w:color="auto" w:fill="FFFFFF"/>
        <w:spacing w:before="0" w:beforeAutospacing="0" w:after="0" w:afterAutospacing="0"/>
        <w:ind w:left="720"/>
        <w:jc w:val="both"/>
        <w:rPr>
          <w:rFonts w:ascii="Tahoma" w:hAnsi="Tahoma" w:cs="Tahoma"/>
          <w:color w:val="000000"/>
          <w:sz w:val="22"/>
          <w:szCs w:val="22"/>
        </w:rPr>
      </w:pPr>
    </w:p>
    <w:p w:rsidR="002B4E26" w:rsidRPr="004215A9" w:rsidRDefault="002B4E26" w:rsidP="00475F5E">
      <w:pPr>
        <w:pStyle w:val="xmsonormal"/>
        <w:shd w:val="clear" w:color="auto" w:fill="FFFFFF"/>
        <w:spacing w:before="0" w:beforeAutospacing="0" w:after="0" w:afterAutospacing="0"/>
        <w:ind w:left="720"/>
        <w:jc w:val="both"/>
        <w:rPr>
          <w:rFonts w:ascii="Tahoma" w:hAnsi="Tahoma" w:cs="Tahoma"/>
          <w:color w:val="000000"/>
          <w:sz w:val="22"/>
          <w:szCs w:val="22"/>
        </w:rPr>
      </w:pPr>
      <w:bookmarkStart w:id="0" w:name="_GoBack"/>
      <w:bookmarkEnd w:id="0"/>
    </w:p>
    <w:p w:rsidR="00661E4E" w:rsidRPr="004215A9" w:rsidRDefault="002A0556" w:rsidP="002A0556">
      <w:pPr>
        <w:jc w:val="center"/>
        <w:rPr>
          <w:rFonts w:ascii="Tahoma" w:hAnsi="Tahoma" w:cs="Tahoma"/>
          <w:spacing w:val="50"/>
          <w:sz w:val="22"/>
          <w:szCs w:val="22"/>
        </w:rPr>
      </w:pPr>
      <w:r w:rsidRPr="004215A9">
        <w:rPr>
          <w:rFonts w:ascii="Tahoma" w:hAnsi="Tahoma" w:cs="Tahoma"/>
          <w:spacing w:val="50"/>
          <w:sz w:val="22"/>
          <w:szCs w:val="22"/>
        </w:rPr>
        <w:t>***********</w:t>
      </w:r>
    </w:p>
    <w:p w:rsidR="002A0556" w:rsidRPr="004215A9" w:rsidRDefault="002A0556" w:rsidP="002A0556">
      <w:pPr>
        <w:jc w:val="both"/>
        <w:rPr>
          <w:rFonts w:ascii="Tahoma" w:hAnsi="Tahoma" w:cs="Tahoma"/>
          <w:sz w:val="22"/>
          <w:szCs w:val="22"/>
        </w:rPr>
      </w:pPr>
    </w:p>
    <w:p w:rsidR="0027387F" w:rsidRPr="004215A9" w:rsidRDefault="006636C3" w:rsidP="002A0556">
      <w:pPr>
        <w:jc w:val="both"/>
        <w:rPr>
          <w:rFonts w:ascii="Tahoma" w:hAnsi="Tahoma" w:cs="Tahoma"/>
          <w:sz w:val="22"/>
          <w:szCs w:val="22"/>
        </w:rPr>
      </w:pPr>
      <w:r>
        <w:rPr>
          <w:rFonts w:ascii="Tahoma" w:hAnsi="Tahoma" w:cs="Tahoma"/>
          <w:sz w:val="22"/>
          <w:szCs w:val="22"/>
        </w:rPr>
        <w:t>Please s</w:t>
      </w:r>
      <w:r w:rsidR="0027387F" w:rsidRPr="004215A9">
        <w:rPr>
          <w:rFonts w:ascii="Tahoma" w:hAnsi="Tahoma" w:cs="Tahoma"/>
          <w:sz w:val="22"/>
          <w:szCs w:val="22"/>
        </w:rPr>
        <w:t xml:space="preserve">end your </w:t>
      </w:r>
      <w:r>
        <w:rPr>
          <w:rFonts w:ascii="Tahoma" w:hAnsi="Tahoma" w:cs="Tahoma"/>
          <w:sz w:val="22"/>
          <w:szCs w:val="22"/>
        </w:rPr>
        <w:t>brie</w:t>
      </w:r>
      <w:r w:rsidR="00DA27CA">
        <w:rPr>
          <w:rFonts w:ascii="Tahoma" w:hAnsi="Tahoma" w:cs="Tahoma"/>
          <w:sz w:val="22"/>
          <w:szCs w:val="22"/>
        </w:rPr>
        <w:t>f</w:t>
      </w:r>
      <w:r>
        <w:rPr>
          <w:rFonts w:ascii="Tahoma" w:hAnsi="Tahoma" w:cs="Tahoma"/>
          <w:sz w:val="22"/>
          <w:szCs w:val="22"/>
        </w:rPr>
        <w:t xml:space="preserve"> and (once approved) </w:t>
      </w:r>
      <w:r w:rsidR="0027387F" w:rsidRPr="004215A9">
        <w:rPr>
          <w:rFonts w:ascii="Tahoma" w:hAnsi="Tahoma" w:cs="Tahoma"/>
          <w:sz w:val="22"/>
          <w:szCs w:val="22"/>
        </w:rPr>
        <w:t>manuscript to the editor</w:t>
      </w:r>
      <w:r w:rsidR="00475F5E" w:rsidRPr="004215A9">
        <w:rPr>
          <w:rFonts w:ascii="Tahoma" w:hAnsi="Tahoma" w:cs="Tahoma"/>
          <w:sz w:val="22"/>
          <w:szCs w:val="22"/>
        </w:rPr>
        <w:t>s</w:t>
      </w:r>
      <w:r w:rsidR="007257D0" w:rsidRPr="004215A9">
        <w:rPr>
          <w:rFonts w:ascii="Tahoma" w:hAnsi="Tahoma" w:cs="Tahoma"/>
          <w:sz w:val="22"/>
          <w:szCs w:val="22"/>
        </w:rPr>
        <w:t xml:space="preserve"> (nikos@scandamis.org or </w:t>
      </w:r>
      <w:r w:rsidR="00475F5E" w:rsidRPr="004215A9">
        <w:rPr>
          <w:rFonts w:ascii="Tahoma" w:hAnsi="Tahoma" w:cs="Tahoma"/>
          <w:sz w:val="22"/>
          <w:szCs w:val="22"/>
        </w:rPr>
        <w:t>mperakis@law.uoa.gr</w:t>
      </w:r>
      <w:r w:rsidR="007257D0" w:rsidRPr="004215A9">
        <w:rPr>
          <w:rFonts w:ascii="Tahoma" w:hAnsi="Tahoma" w:cs="Tahoma"/>
          <w:sz w:val="22"/>
          <w:szCs w:val="22"/>
        </w:rPr>
        <w:t>)</w:t>
      </w:r>
      <w:r w:rsidR="002A0556" w:rsidRPr="004215A9">
        <w:rPr>
          <w:rFonts w:ascii="Tahoma" w:hAnsi="Tahoma" w:cs="Tahoma"/>
          <w:sz w:val="22"/>
          <w:szCs w:val="22"/>
        </w:rPr>
        <w:t>.</w:t>
      </w:r>
    </w:p>
    <w:p w:rsidR="002A0556" w:rsidRPr="004215A9" w:rsidRDefault="002A0556" w:rsidP="002A0556">
      <w:pPr>
        <w:jc w:val="both"/>
        <w:rPr>
          <w:rFonts w:ascii="Tahoma" w:hAnsi="Tahoma" w:cs="Tahoma"/>
          <w:sz w:val="22"/>
          <w:szCs w:val="22"/>
        </w:rPr>
      </w:pPr>
    </w:p>
    <w:p w:rsidR="0027387F" w:rsidRPr="004215A9" w:rsidRDefault="0027387F" w:rsidP="002A0556">
      <w:pPr>
        <w:jc w:val="both"/>
        <w:rPr>
          <w:rFonts w:ascii="Tahoma" w:hAnsi="Tahoma" w:cs="Tahoma"/>
          <w:sz w:val="22"/>
          <w:szCs w:val="22"/>
        </w:rPr>
      </w:pPr>
      <w:r w:rsidRPr="004215A9">
        <w:rPr>
          <w:rFonts w:ascii="Tahoma" w:hAnsi="Tahoma" w:cs="Tahoma"/>
          <w:sz w:val="22"/>
          <w:szCs w:val="22"/>
        </w:rPr>
        <w:t xml:space="preserve">For more information, visit the official website of the journal </w:t>
      </w:r>
      <w:hyperlink r:id="rId8" w:history="1">
        <w:r w:rsidRPr="004215A9">
          <w:rPr>
            <w:rFonts w:ascii="Tahoma" w:hAnsi="Tahoma" w:cs="Tahoma"/>
            <w:sz w:val="22"/>
            <w:szCs w:val="22"/>
          </w:rPr>
          <w:t>http://www.eplopublications.eu/europeanpoliteia.html</w:t>
        </w:r>
      </w:hyperlink>
      <w:r w:rsidR="006636C3">
        <w:rPr>
          <w:rFonts w:ascii="Tahoma" w:hAnsi="Tahoma" w:cs="Tahoma"/>
          <w:sz w:val="22"/>
          <w:szCs w:val="22"/>
        </w:rPr>
        <w:t>.</w:t>
      </w:r>
    </w:p>
    <w:p w:rsidR="002A0556" w:rsidRPr="004215A9" w:rsidRDefault="002A0556" w:rsidP="002A0556">
      <w:pPr>
        <w:jc w:val="both"/>
        <w:rPr>
          <w:rFonts w:ascii="Tahoma" w:hAnsi="Tahoma" w:cs="Tahoma"/>
          <w:sz w:val="22"/>
          <w:szCs w:val="22"/>
        </w:rPr>
      </w:pPr>
    </w:p>
    <w:p w:rsidR="002A0556" w:rsidRPr="004215A9" w:rsidRDefault="007257D0" w:rsidP="002A0556">
      <w:pPr>
        <w:jc w:val="both"/>
        <w:rPr>
          <w:rFonts w:ascii="Tahoma" w:hAnsi="Tahoma" w:cs="Tahoma"/>
          <w:sz w:val="22"/>
          <w:szCs w:val="22"/>
        </w:rPr>
      </w:pPr>
      <w:r w:rsidRPr="004215A9">
        <w:rPr>
          <w:rFonts w:ascii="Tahoma" w:hAnsi="Tahoma" w:cs="Tahoma"/>
          <w:sz w:val="22"/>
          <w:szCs w:val="22"/>
        </w:rPr>
        <w:t>Submission g</w:t>
      </w:r>
      <w:r w:rsidR="002A0556" w:rsidRPr="004215A9">
        <w:rPr>
          <w:rFonts w:ascii="Tahoma" w:hAnsi="Tahoma" w:cs="Tahoma"/>
          <w:sz w:val="22"/>
          <w:szCs w:val="22"/>
        </w:rPr>
        <w:t xml:space="preserve">uidelines </w:t>
      </w:r>
      <w:r w:rsidRPr="004215A9">
        <w:rPr>
          <w:rFonts w:ascii="Tahoma" w:hAnsi="Tahoma" w:cs="Tahoma"/>
          <w:sz w:val="22"/>
          <w:szCs w:val="22"/>
        </w:rPr>
        <w:t xml:space="preserve">for authors are </w:t>
      </w:r>
      <w:r w:rsidR="007F4C35" w:rsidRPr="004215A9">
        <w:rPr>
          <w:rFonts w:ascii="Tahoma" w:hAnsi="Tahoma" w:cs="Tahoma"/>
          <w:sz w:val="22"/>
          <w:szCs w:val="22"/>
        </w:rPr>
        <w:t>enclosed</w:t>
      </w:r>
      <w:r w:rsidR="002A0556" w:rsidRPr="004215A9">
        <w:rPr>
          <w:rFonts w:ascii="Tahoma" w:hAnsi="Tahoma" w:cs="Tahoma"/>
          <w:sz w:val="22"/>
          <w:szCs w:val="22"/>
        </w:rPr>
        <w:t xml:space="preserve">. </w:t>
      </w:r>
    </w:p>
    <w:p w:rsidR="002A0556" w:rsidRPr="004215A9" w:rsidRDefault="002A0556" w:rsidP="002A0556">
      <w:pPr>
        <w:jc w:val="both"/>
        <w:rPr>
          <w:rFonts w:ascii="Tahoma" w:hAnsi="Tahoma" w:cs="Tahoma"/>
          <w:sz w:val="22"/>
          <w:szCs w:val="22"/>
        </w:rPr>
      </w:pPr>
    </w:p>
    <w:p w:rsidR="002A0556" w:rsidRPr="004215A9" w:rsidRDefault="0027387F" w:rsidP="002A0556">
      <w:pPr>
        <w:jc w:val="both"/>
        <w:rPr>
          <w:rFonts w:ascii="Tahoma" w:hAnsi="Tahoma" w:cs="Tahoma"/>
          <w:sz w:val="22"/>
          <w:szCs w:val="22"/>
        </w:rPr>
      </w:pPr>
      <w:r w:rsidRPr="004215A9">
        <w:rPr>
          <w:rFonts w:ascii="Tahoma" w:hAnsi="Tahoma" w:cs="Tahoma"/>
          <w:sz w:val="22"/>
          <w:szCs w:val="22"/>
        </w:rPr>
        <w:lastRenderedPageBreak/>
        <w:t>With</w:t>
      </w:r>
      <w:r w:rsidR="002A0556" w:rsidRPr="004215A9">
        <w:rPr>
          <w:rFonts w:ascii="Tahoma" w:hAnsi="Tahoma" w:cs="Tahoma"/>
          <w:sz w:val="22"/>
          <w:szCs w:val="22"/>
        </w:rPr>
        <w:t xml:space="preserve"> kind regards, </w:t>
      </w:r>
    </w:p>
    <w:p w:rsidR="007257D0" w:rsidRPr="004215A9" w:rsidRDefault="007257D0" w:rsidP="002A0556">
      <w:pPr>
        <w:jc w:val="both"/>
        <w:rPr>
          <w:rFonts w:ascii="Tahoma" w:hAnsi="Tahoma" w:cs="Tahoma"/>
          <w:sz w:val="22"/>
          <w:szCs w:val="22"/>
        </w:rPr>
      </w:pPr>
    </w:p>
    <w:p w:rsidR="007257D0" w:rsidRPr="004215A9" w:rsidRDefault="00475F5E" w:rsidP="002A0556">
      <w:pPr>
        <w:jc w:val="both"/>
        <w:rPr>
          <w:rFonts w:ascii="Tahoma" w:hAnsi="Tahoma" w:cs="Tahoma"/>
          <w:sz w:val="22"/>
          <w:szCs w:val="22"/>
        </w:rPr>
      </w:pPr>
      <w:r w:rsidRPr="004215A9">
        <w:rPr>
          <w:rFonts w:ascii="Tahoma" w:hAnsi="Tahoma" w:cs="Tahoma"/>
          <w:sz w:val="22"/>
          <w:szCs w:val="22"/>
        </w:rPr>
        <w:t>Kostas Panselinos</w:t>
      </w:r>
    </w:p>
    <w:p w:rsidR="007257D0" w:rsidRPr="004215A9" w:rsidRDefault="007257D0" w:rsidP="002A0556">
      <w:pPr>
        <w:jc w:val="both"/>
        <w:rPr>
          <w:rFonts w:ascii="Tahoma" w:hAnsi="Tahoma" w:cs="Tahoma"/>
          <w:sz w:val="22"/>
          <w:szCs w:val="22"/>
        </w:rPr>
      </w:pPr>
      <w:r w:rsidRPr="004215A9">
        <w:rPr>
          <w:rFonts w:ascii="Tahoma" w:hAnsi="Tahoma" w:cs="Tahoma"/>
          <w:sz w:val="22"/>
          <w:szCs w:val="22"/>
        </w:rPr>
        <w:t>Editorial Assistant</w:t>
      </w:r>
    </w:p>
    <w:p w:rsidR="0027387F" w:rsidRPr="004215A9" w:rsidRDefault="0027387F" w:rsidP="002A0556">
      <w:pPr>
        <w:jc w:val="both"/>
        <w:rPr>
          <w:rFonts w:ascii="Tahoma" w:hAnsi="Tahoma" w:cs="Tahoma"/>
          <w:sz w:val="22"/>
          <w:szCs w:val="22"/>
        </w:rPr>
      </w:pPr>
    </w:p>
    <w:p w:rsidR="00661E4E" w:rsidRPr="004215A9" w:rsidRDefault="00661E4E" w:rsidP="002A0556">
      <w:pPr>
        <w:widowControl w:val="0"/>
        <w:autoSpaceDE w:val="0"/>
        <w:autoSpaceDN w:val="0"/>
        <w:adjustRightInd w:val="0"/>
        <w:jc w:val="both"/>
        <w:rPr>
          <w:rFonts w:ascii="Tahoma" w:hAnsi="Tahoma" w:cs="Tahoma"/>
          <w:color w:val="323133"/>
          <w:sz w:val="22"/>
          <w:szCs w:val="22"/>
          <w:u w:color="323133"/>
        </w:rPr>
      </w:pPr>
    </w:p>
    <w:p w:rsidR="007257D0" w:rsidRPr="004215A9" w:rsidRDefault="007257D0" w:rsidP="007257D0">
      <w:pPr>
        <w:jc w:val="center"/>
        <w:rPr>
          <w:rFonts w:ascii="Tahoma" w:hAnsi="Tahoma" w:cs="Tahoma"/>
          <w:b/>
          <w:sz w:val="22"/>
          <w:szCs w:val="22"/>
        </w:rPr>
      </w:pPr>
      <w:r w:rsidRPr="004215A9">
        <w:rPr>
          <w:rFonts w:ascii="Tahoma" w:hAnsi="Tahoma" w:cs="Tahoma"/>
          <w:b/>
          <w:sz w:val="22"/>
          <w:szCs w:val="22"/>
        </w:rPr>
        <w:t>INSTRUCTIONS TO AUTHORS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1. Submission of texts</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All manuscripts must be submitted in Word format as an email attachment. Communications concerning the submission of manuscripts should be sent to Mr</w:t>
      </w:r>
      <w:r w:rsidR="00475F5E" w:rsidRPr="004215A9">
        <w:rPr>
          <w:rFonts w:ascii="Tahoma" w:hAnsi="Tahoma" w:cs="Tahoma"/>
          <w:sz w:val="22"/>
          <w:szCs w:val="22"/>
        </w:rPr>
        <w:t>Kostas Panselinos</w:t>
      </w:r>
      <w:r w:rsidRPr="004215A9">
        <w:rPr>
          <w:rFonts w:ascii="Tahoma" w:hAnsi="Tahoma" w:cs="Tahoma"/>
          <w:sz w:val="22"/>
          <w:szCs w:val="22"/>
        </w:rPr>
        <w:t xml:space="preserve"> (</w:t>
      </w:r>
      <w:r w:rsidR="00DA2837">
        <w:rPr>
          <w:rFonts w:ascii="Tahoma" w:hAnsi="Tahoma" w:cs="Tahoma"/>
          <w:sz w:val="22"/>
          <w:szCs w:val="22"/>
        </w:rPr>
        <w:t>kpanselinos@eplo.eu</w:t>
      </w:r>
      <w:r w:rsidRPr="004215A9">
        <w:rPr>
          <w:rFonts w:ascii="Tahoma" w:hAnsi="Tahoma" w:cs="Tahoma"/>
          <w:sz w:val="22"/>
          <w:szCs w:val="22"/>
        </w:rPr>
        <w:t xml:space="preserve">). Manuscripts to be submitted for consideration should be in one of the three most widely spoken European languages: English, French or German. </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Articles</w:t>
      </w:r>
      <w:r w:rsidRPr="004215A9">
        <w:rPr>
          <w:rFonts w:ascii="Tahoma" w:hAnsi="Tahoma" w:cs="Tahoma"/>
          <w:sz w:val="22"/>
          <w:szCs w:val="22"/>
        </w:rPr>
        <w:t xml:space="preserve"> should preferably be no longer than 4.000-5.000 words, including footnotes, and should be submitted together with an abstract of 100-150 words in length. If the article is written in a language other than English, then an abstract and title in English should be submitted as well. Notes should be numbered sequentially in superscript in the text outside punctuation marks and placed as footnotes included in the main text (after an initial unnumbered note attached to the author’s name by an asterisk, stating his/her professional capacity).</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 xml:space="preserve">Case notes </w:t>
      </w:r>
      <w:r w:rsidRPr="004215A9">
        <w:rPr>
          <w:rFonts w:ascii="Tahoma" w:hAnsi="Tahoma" w:cs="Tahoma"/>
          <w:sz w:val="22"/>
          <w:szCs w:val="22"/>
        </w:rPr>
        <w:t>or</w:t>
      </w:r>
      <w:r w:rsidRPr="004215A9">
        <w:rPr>
          <w:rFonts w:ascii="Tahoma" w:hAnsi="Tahoma" w:cs="Tahoma"/>
          <w:i/>
          <w:sz w:val="22"/>
          <w:szCs w:val="22"/>
        </w:rPr>
        <w:t xml:space="preserve"> legislation notes</w:t>
      </w:r>
      <w:r w:rsidRPr="004215A9">
        <w:rPr>
          <w:rFonts w:ascii="Tahoma" w:hAnsi="Tahoma" w:cs="Tahoma"/>
          <w:sz w:val="22"/>
          <w:szCs w:val="22"/>
        </w:rPr>
        <w:t xml:space="preserve"> should not exceed 2.500 words.</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Book Reviews</w:t>
      </w:r>
      <w:r w:rsidRPr="004215A9">
        <w:rPr>
          <w:rFonts w:ascii="Tahoma" w:hAnsi="Tahoma" w:cs="Tahoma"/>
          <w:sz w:val="22"/>
          <w:szCs w:val="22"/>
        </w:rPr>
        <w:t xml:space="preserve"> should not exceed 1.500 words and have no footnotes.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2. Headings – Style</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In articles, case notes or legislation notes, individual paragraphs should not be numbered. Subdivisions with headings are preferred and a maximum of four levels of heading is suggested, as set forth below:</w:t>
      </w:r>
    </w:p>
    <w:p w:rsidR="007257D0" w:rsidRPr="004215A9" w:rsidRDefault="007257D0" w:rsidP="007257D0">
      <w:pPr>
        <w:spacing w:before="120"/>
        <w:jc w:val="both"/>
        <w:rPr>
          <w:rFonts w:ascii="Tahoma" w:hAnsi="Tahoma" w:cs="Tahoma"/>
          <w:sz w:val="22"/>
          <w:szCs w:val="22"/>
          <w:lang w:val="fr-FR"/>
        </w:rPr>
      </w:pPr>
      <w:r w:rsidRPr="004215A9">
        <w:rPr>
          <w:rFonts w:ascii="Tahoma" w:hAnsi="Tahoma" w:cs="Tahoma"/>
          <w:sz w:val="22"/>
          <w:szCs w:val="22"/>
          <w:lang w:val="fr-FR"/>
        </w:rPr>
        <w:t>Article title</w:t>
      </w:r>
    </w:p>
    <w:p w:rsidR="007257D0" w:rsidRPr="004215A9" w:rsidRDefault="007257D0" w:rsidP="007257D0">
      <w:pPr>
        <w:ind w:left="540"/>
        <w:rPr>
          <w:rFonts w:ascii="Tahoma" w:hAnsi="Tahoma" w:cs="Tahoma"/>
          <w:sz w:val="22"/>
          <w:szCs w:val="22"/>
          <w:lang w:val="fr-FR"/>
        </w:rPr>
      </w:pPr>
      <w:r w:rsidRPr="004215A9">
        <w:rPr>
          <w:rFonts w:ascii="Tahoma" w:hAnsi="Tahoma" w:cs="Tahoma"/>
          <w:sz w:val="22"/>
          <w:szCs w:val="22"/>
          <w:lang w:val="fr-FR"/>
        </w:rPr>
        <w:t>I. Section</w:t>
      </w:r>
    </w:p>
    <w:p w:rsidR="007257D0" w:rsidRPr="004215A9" w:rsidRDefault="007257D0" w:rsidP="007257D0">
      <w:pPr>
        <w:ind w:left="1080"/>
        <w:rPr>
          <w:rFonts w:ascii="Tahoma" w:hAnsi="Tahoma" w:cs="Tahoma"/>
          <w:sz w:val="22"/>
          <w:szCs w:val="22"/>
          <w:lang w:val="fr-FR"/>
        </w:rPr>
      </w:pPr>
      <w:r w:rsidRPr="004215A9">
        <w:rPr>
          <w:rFonts w:ascii="Tahoma" w:hAnsi="Tahoma" w:cs="Tahoma"/>
          <w:sz w:val="22"/>
          <w:szCs w:val="22"/>
          <w:lang w:val="fr-FR"/>
        </w:rPr>
        <w:t>A. Subsection</w:t>
      </w:r>
    </w:p>
    <w:p w:rsidR="007257D0" w:rsidRPr="004215A9" w:rsidRDefault="007257D0" w:rsidP="007257D0">
      <w:pPr>
        <w:ind w:left="1620"/>
        <w:rPr>
          <w:rFonts w:ascii="Tahoma" w:hAnsi="Tahoma" w:cs="Tahoma"/>
          <w:sz w:val="22"/>
          <w:szCs w:val="22"/>
          <w:lang w:val="fr-FR"/>
        </w:rPr>
      </w:pPr>
      <w:r w:rsidRPr="004215A9">
        <w:rPr>
          <w:rFonts w:ascii="Tahoma" w:hAnsi="Tahoma" w:cs="Tahoma"/>
          <w:sz w:val="22"/>
          <w:szCs w:val="22"/>
          <w:lang w:val="fr-FR"/>
        </w:rPr>
        <w:t>1. Paragraph</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Phrases in capitals or underlined text should be avoided. </w:t>
      </w:r>
    </w:p>
    <w:p w:rsidR="007257D0" w:rsidRPr="004215A9" w:rsidRDefault="007257D0" w:rsidP="007257D0">
      <w:pPr>
        <w:jc w:val="both"/>
        <w:rPr>
          <w:rFonts w:ascii="Tahoma" w:hAnsi="Tahoma" w:cs="Tahoma"/>
          <w:sz w:val="22"/>
          <w:szCs w:val="22"/>
        </w:rPr>
      </w:pPr>
    </w:p>
    <w:p w:rsidR="007257D0" w:rsidRPr="004215A9" w:rsidRDefault="007257D0" w:rsidP="007257D0">
      <w:pPr>
        <w:jc w:val="both"/>
        <w:rPr>
          <w:rFonts w:ascii="Tahoma" w:hAnsi="Tahoma" w:cs="Tahoma"/>
          <w:b/>
          <w:sz w:val="22"/>
          <w:szCs w:val="22"/>
        </w:rPr>
      </w:pPr>
      <w:r w:rsidRPr="004215A9">
        <w:rPr>
          <w:rFonts w:ascii="Tahoma" w:hAnsi="Tahoma" w:cs="Tahoma"/>
          <w:b/>
          <w:sz w:val="22"/>
          <w:szCs w:val="22"/>
        </w:rPr>
        <w:t xml:space="preserve">3. General rules of citation  </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Books</w:t>
      </w:r>
    </w:p>
    <w:p w:rsidR="007257D0" w:rsidRPr="004215A9" w:rsidRDefault="007257D0" w:rsidP="007257D0">
      <w:pPr>
        <w:rPr>
          <w:rFonts w:ascii="Tahoma" w:hAnsi="Tahoma" w:cs="Tahoma"/>
          <w:sz w:val="22"/>
          <w:szCs w:val="22"/>
          <w:lang w:val="fr-FR"/>
        </w:rPr>
      </w:pPr>
      <w:r w:rsidRPr="004215A9">
        <w:rPr>
          <w:rFonts w:ascii="Tahoma" w:hAnsi="Tahoma" w:cs="Tahoma"/>
          <w:sz w:val="22"/>
          <w:szCs w:val="22"/>
        </w:rPr>
        <w:t xml:space="preserve">Tridimas, </w:t>
      </w:r>
      <w:r w:rsidR="004329D0" w:rsidRPr="004215A9">
        <w:rPr>
          <w:rFonts w:ascii="Tahoma" w:hAnsi="Tahoma" w:cs="Tahoma"/>
          <w:i/>
          <w:sz w:val="22"/>
          <w:szCs w:val="22"/>
        </w:rPr>
        <w:t>The General Principles of EU Law</w:t>
      </w:r>
      <w:r w:rsidRPr="004215A9">
        <w:rPr>
          <w:rFonts w:ascii="Tahoma" w:hAnsi="Tahoma" w:cs="Tahoma"/>
          <w:sz w:val="22"/>
          <w:szCs w:val="22"/>
        </w:rPr>
        <w:t xml:space="preserve">, 2nd ed. </w:t>
      </w:r>
      <w:r w:rsidRPr="004215A9">
        <w:rPr>
          <w:rFonts w:ascii="Tahoma" w:hAnsi="Tahoma" w:cs="Tahoma"/>
          <w:sz w:val="22"/>
          <w:szCs w:val="22"/>
          <w:lang w:val="fr-FR"/>
        </w:rPr>
        <w:t>(OUP, 2006), pp. 16-24.</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Articles</w:t>
      </w:r>
    </w:p>
    <w:p w:rsidR="007257D0" w:rsidRPr="004215A9" w:rsidRDefault="007257D0" w:rsidP="007257D0">
      <w:pPr>
        <w:jc w:val="both"/>
        <w:rPr>
          <w:rFonts w:ascii="Tahoma" w:hAnsi="Tahoma" w:cs="Tahoma"/>
          <w:sz w:val="22"/>
          <w:szCs w:val="22"/>
          <w:lang w:val="fr-FR"/>
        </w:rPr>
      </w:pPr>
      <w:r w:rsidRPr="004215A9">
        <w:rPr>
          <w:rFonts w:ascii="Tahoma" w:hAnsi="Tahoma" w:cs="Tahoma"/>
          <w:sz w:val="22"/>
          <w:szCs w:val="22"/>
          <w:lang w:val="fr-FR"/>
        </w:rPr>
        <w:t xml:space="preserve">Hatzopoulos, Le principe de reconnaissance mutuelle dans la libre prestation de services, (2010) </w:t>
      </w:r>
      <w:r w:rsidR="004329D0" w:rsidRPr="004215A9">
        <w:rPr>
          <w:rFonts w:ascii="Tahoma" w:hAnsi="Tahoma" w:cs="Tahoma"/>
          <w:i/>
          <w:sz w:val="22"/>
          <w:szCs w:val="22"/>
          <w:lang w:val="fr-FR"/>
        </w:rPr>
        <w:t>CDE</w:t>
      </w:r>
      <w:r w:rsidRPr="004215A9">
        <w:rPr>
          <w:rFonts w:ascii="Tahoma" w:hAnsi="Tahoma" w:cs="Tahoma"/>
          <w:sz w:val="22"/>
          <w:szCs w:val="22"/>
          <w:lang w:val="fr-FR"/>
        </w:rPr>
        <w:t>, 47-93.</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EU documents</w:t>
      </w:r>
    </w:p>
    <w:p w:rsidR="007257D0" w:rsidRPr="004215A9" w:rsidRDefault="007257D0" w:rsidP="007257D0">
      <w:pPr>
        <w:rPr>
          <w:rFonts w:ascii="Tahoma" w:hAnsi="Tahoma" w:cs="Tahoma"/>
          <w:sz w:val="22"/>
          <w:szCs w:val="22"/>
          <w:lang w:val="fr-FR"/>
        </w:rPr>
      </w:pPr>
      <w:r w:rsidRPr="004215A9">
        <w:rPr>
          <w:rFonts w:ascii="Tahoma" w:hAnsi="Tahoma" w:cs="Tahoma"/>
          <w:sz w:val="22"/>
          <w:szCs w:val="22"/>
          <w:lang w:val="fr-FR"/>
        </w:rPr>
        <w:t>O.J. 1983, L 24/30.</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COM(2010)2020, “Europe 2020: A strategy for smart, sustainable and inclusive growth”, para. 460.</w:t>
      </w:r>
    </w:p>
    <w:p w:rsidR="007257D0" w:rsidRPr="004215A9" w:rsidRDefault="007257D0" w:rsidP="007257D0">
      <w:pPr>
        <w:rPr>
          <w:rFonts w:ascii="Tahoma" w:hAnsi="Tahoma" w:cs="Tahoma"/>
          <w:i/>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 xml:space="preserve">Legislation </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Article 114 </w:t>
      </w:r>
      <w:r w:rsidR="00FD0634" w:rsidRPr="004215A9">
        <w:rPr>
          <w:rFonts w:ascii="Tahoma" w:hAnsi="Tahoma" w:cs="Tahoma"/>
          <w:iCs/>
          <w:sz w:val="22"/>
          <w:szCs w:val="22"/>
        </w:rPr>
        <w:t>TFEU</w:t>
      </w:r>
    </w:p>
    <w:p w:rsidR="00FD0634" w:rsidRPr="004215A9" w:rsidRDefault="00FD0634" w:rsidP="00FD0634">
      <w:pPr>
        <w:rPr>
          <w:rFonts w:ascii="Tahoma" w:eastAsia="Times New Roman" w:hAnsi="Tahoma" w:cs="Tahoma"/>
          <w:sz w:val="22"/>
          <w:szCs w:val="22"/>
          <w:lang w:eastAsia="el-GR"/>
        </w:rPr>
      </w:pPr>
      <w:r w:rsidRPr="004215A9">
        <w:rPr>
          <w:rFonts w:ascii="Tahoma" w:eastAsia="Times New Roman" w:hAnsi="Tahoma" w:cs="Tahoma"/>
          <w:sz w:val="22"/>
          <w:szCs w:val="22"/>
          <w:lang w:eastAsia="el-GR"/>
        </w:rPr>
        <w:t>Council Regulation 1/2003/EC (O.J. 2003, L1/1)</w:t>
      </w:r>
    </w:p>
    <w:p w:rsidR="00FD0634" w:rsidRPr="004215A9" w:rsidRDefault="00FD0634" w:rsidP="00FD0634">
      <w:pPr>
        <w:rPr>
          <w:rFonts w:ascii="Tahoma" w:eastAsia="Times New Roman" w:hAnsi="Tahoma" w:cs="Tahoma"/>
          <w:sz w:val="22"/>
          <w:szCs w:val="22"/>
          <w:lang w:eastAsia="el-GR"/>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Jurisprudence</w:t>
      </w:r>
    </w:p>
    <w:p w:rsidR="00EC13D7" w:rsidRPr="004215A9" w:rsidRDefault="00EC13D7" w:rsidP="00EC13D7">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70/88, </w:t>
      </w:r>
      <w:r w:rsidRPr="004215A9">
        <w:rPr>
          <w:rFonts w:ascii="Tahoma" w:hAnsi="Tahoma" w:cs="Tahoma"/>
          <w:i/>
          <w:sz w:val="22"/>
          <w:szCs w:val="22"/>
        </w:rPr>
        <w:t>Parliament v</w:t>
      </w:r>
      <w:r w:rsidR="00AA657F" w:rsidRPr="004215A9">
        <w:rPr>
          <w:rFonts w:ascii="Tahoma" w:hAnsi="Tahoma" w:cs="Tahoma"/>
          <w:i/>
          <w:sz w:val="22"/>
          <w:szCs w:val="22"/>
        </w:rPr>
        <w:t>.</w:t>
      </w:r>
      <w:r w:rsidRPr="004215A9">
        <w:rPr>
          <w:rFonts w:ascii="Tahoma" w:hAnsi="Tahoma" w:cs="Tahoma"/>
          <w:i/>
          <w:sz w:val="22"/>
          <w:szCs w:val="22"/>
        </w:rPr>
        <w:t xml:space="preserve"> Council</w:t>
      </w:r>
      <w:r w:rsidRPr="004215A9">
        <w:rPr>
          <w:rFonts w:ascii="Tahoma" w:hAnsi="Tahoma" w:cs="Tahoma"/>
          <w:sz w:val="22"/>
          <w:szCs w:val="22"/>
        </w:rPr>
        <w:t>, EU:C:1990:217, par. 22</w:t>
      </w:r>
      <w:r w:rsidR="00AA657F" w:rsidRPr="004215A9">
        <w:rPr>
          <w:rFonts w:ascii="Tahoma" w:hAnsi="Tahoma" w:cs="Tahoma"/>
          <w:sz w:val="22"/>
          <w:szCs w:val="22"/>
        </w:rPr>
        <w:t>.</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95/12, </w:t>
      </w:r>
      <w:r w:rsidRPr="004215A9">
        <w:rPr>
          <w:rFonts w:ascii="Tahoma" w:hAnsi="Tahoma" w:cs="Tahoma"/>
          <w:i/>
          <w:sz w:val="22"/>
          <w:szCs w:val="22"/>
        </w:rPr>
        <w:t>European Commission v. Federal Republic of Germany</w:t>
      </w:r>
      <w:r w:rsidRPr="004215A9">
        <w:rPr>
          <w:rFonts w:ascii="Tahoma" w:hAnsi="Tahoma" w:cs="Tahoma"/>
          <w:sz w:val="22"/>
          <w:szCs w:val="22"/>
        </w:rPr>
        <w:t>, not yet reported.</w:t>
      </w:r>
    </w:p>
    <w:p w:rsidR="007257D0" w:rsidRPr="004215A9" w:rsidRDefault="007257D0" w:rsidP="007257D0">
      <w:pPr>
        <w:jc w:val="both"/>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Internet sources</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http://ec.europa.eu/sport/library/documents/b24/xg-gg-201307-dlvrbl2-sept2013.pdf (last visited 22 Oct. 2013).</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It is recommended to use abbreviations in footnotes and in parentheses, e.g. Art. 8; 3 Dec. 1990; para 45. Where cases are referenced in several footnotes, please use the case name and “cited supra note X”. For published works referred to more than once, use "author, op. cit. supra note x".</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The Editors reserve the right to request corrections to manuscripts.</w:t>
      </w:r>
    </w:p>
    <w:sectPr w:rsidR="007257D0" w:rsidRPr="004215A9" w:rsidSect="00D741C2">
      <w:footerReference w:type="even" r:id="rId9"/>
      <w:footerReference w:type="default" r:id="rId10"/>
      <w:headerReference w:type="first" r:id="rId11"/>
      <w:pgSz w:w="11900" w:h="16840"/>
      <w:pgMar w:top="1134" w:right="1552" w:bottom="1440" w:left="1560" w:header="11" w:footer="9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D85" w:rsidRDefault="001D5D85" w:rsidP="00403C61">
      <w:r>
        <w:separator/>
      </w:r>
    </w:p>
  </w:endnote>
  <w:endnote w:type="continuationSeparator" w:id="1">
    <w:p w:rsidR="001D5D85" w:rsidRDefault="001D5D85" w:rsidP="00403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5C5F34" w:rsidP="00F06400">
    <w:pPr>
      <w:pStyle w:val="Footer"/>
      <w:framePr w:wrap="around" w:vAnchor="text" w:hAnchor="margin" w:xAlign="right" w:y="1"/>
      <w:rPr>
        <w:rStyle w:val="PageNumber"/>
      </w:rPr>
    </w:pPr>
    <w:r>
      <w:rPr>
        <w:rStyle w:val="PageNumber"/>
      </w:rPr>
      <w:fldChar w:fldCharType="begin"/>
    </w:r>
    <w:r w:rsidR="00661E4E">
      <w:rPr>
        <w:rStyle w:val="PageNumber"/>
      </w:rPr>
      <w:instrText xml:space="preserve">PAGE  </w:instrText>
    </w:r>
    <w:r>
      <w:rPr>
        <w:rStyle w:val="PageNumber"/>
      </w:rPr>
      <w:fldChar w:fldCharType="end"/>
    </w:r>
  </w:p>
  <w:p w:rsidR="00661E4E" w:rsidRDefault="00661E4E" w:rsidP="00403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661E4E" w:rsidP="00403C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D85" w:rsidRDefault="001D5D85" w:rsidP="00403C61">
      <w:r>
        <w:separator/>
      </w:r>
    </w:p>
  </w:footnote>
  <w:footnote w:type="continuationSeparator" w:id="1">
    <w:p w:rsidR="001D5D85" w:rsidRDefault="001D5D85" w:rsidP="00403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C2" w:rsidRDefault="00D741C2" w:rsidP="00D741C2">
    <w:pPr>
      <w:pStyle w:val="Header"/>
      <w:ind w:left="-1560"/>
    </w:pPr>
    <w:r>
      <w:rPr>
        <w:noProof/>
      </w:rPr>
      <w:drawing>
        <wp:inline distT="0" distB="0" distL="0" distR="0">
          <wp:extent cx="7693573" cy="1292772"/>
          <wp:effectExtent l="0" t="0" r="3175" b="317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94097" cy="12928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D138A"/>
    <w:multiLevelType w:val="hybridMultilevel"/>
    <w:tmpl w:val="A900E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E766DC1"/>
    <w:multiLevelType w:val="hybridMultilevel"/>
    <w:tmpl w:val="24B82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965A27"/>
    <w:rsid w:val="00014E95"/>
    <w:rsid w:val="00025783"/>
    <w:rsid w:val="00057D57"/>
    <w:rsid w:val="000A2284"/>
    <w:rsid w:val="000B4BB3"/>
    <w:rsid w:val="00117B77"/>
    <w:rsid w:val="00183D79"/>
    <w:rsid w:val="001D5D85"/>
    <w:rsid w:val="001E5DF8"/>
    <w:rsid w:val="001F4ADC"/>
    <w:rsid w:val="0027387F"/>
    <w:rsid w:val="0029625B"/>
    <w:rsid w:val="002A0556"/>
    <w:rsid w:val="002A1C2B"/>
    <w:rsid w:val="002B4E26"/>
    <w:rsid w:val="002D26D5"/>
    <w:rsid w:val="00314DC4"/>
    <w:rsid w:val="00351084"/>
    <w:rsid w:val="00352133"/>
    <w:rsid w:val="003942F3"/>
    <w:rsid w:val="003A51D2"/>
    <w:rsid w:val="003D01BB"/>
    <w:rsid w:val="003F5EBE"/>
    <w:rsid w:val="0040084E"/>
    <w:rsid w:val="00403C61"/>
    <w:rsid w:val="004059AC"/>
    <w:rsid w:val="004215A9"/>
    <w:rsid w:val="004308FC"/>
    <w:rsid w:val="004329D0"/>
    <w:rsid w:val="00437EC3"/>
    <w:rsid w:val="00455020"/>
    <w:rsid w:val="00475F5E"/>
    <w:rsid w:val="004C1E80"/>
    <w:rsid w:val="004D6F03"/>
    <w:rsid w:val="00501A22"/>
    <w:rsid w:val="00527924"/>
    <w:rsid w:val="0055361E"/>
    <w:rsid w:val="00570DB4"/>
    <w:rsid w:val="005B6627"/>
    <w:rsid w:val="005C5F34"/>
    <w:rsid w:val="005D1FFA"/>
    <w:rsid w:val="005F7B48"/>
    <w:rsid w:val="00613660"/>
    <w:rsid w:val="006420C6"/>
    <w:rsid w:val="00661E4E"/>
    <w:rsid w:val="006636C3"/>
    <w:rsid w:val="006A0052"/>
    <w:rsid w:val="006C3034"/>
    <w:rsid w:val="007068CD"/>
    <w:rsid w:val="007257D0"/>
    <w:rsid w:val="00731DA1"/>
    <w:rsid w:val="00735113"/>
    <w:rsid w:val="00762F8F"/>
    <w:rsid w:val="007667A2"/>
    <w:rsid w:val="00767B63"/>
    <w:rsid w:val="00782348"/>
    <w:rsid w:val="00790474"/>
    <w:rsid w:val="007F4C35"/>
    <w:rsid w:val="00893BFA"/>
    <w:rsid w:val="008E3A85"/>
    <w:rsid w:val="00921CD3"/>
    <w:rsid w:val="00933689"/>
    <w:rsid w:val="00935E4D"/>
    <w:rsid w:val="00965A27"/>
    <w:rsid w:val="00970C3B"/>
    <w:rsid w:val="009B1CB7"/>
    <w:rsid w:val="009D023E"/>
    <w:rsid w:val="00A73DED"/>
    <w:rsid w:val="00A8153C"/>
    <w:rsid w:val="00AA657F"/>
    <w:rsid w:val="00B0023A"/>
    <w:rsid w:val="00B15D7B"/>
    <w:rsid w:val="00B62A3D"/>
    <w:rsid w:val="00B96546"/>
    <w:rsid w:val="00BD73A1"/>
    <w:rsid w:val="00BE1237"/>
    <w:rsid w:val="00C237CB"/>
    <w:rsid w:val="00C54762"/>
    <w:rsid w:val="00C93A6E"/>
    <w:rsid w:val="00CA5DF7"/>
    <w:rsid w:val="00CA7C2F"/>
    <w:rsid w:val="00CD6DE2"/>
    <w:rsid w:val="00CF20CC"/>
    <w:rsid w:val="00D15847"/>
    <w:rsid w:val="00D45CE7"/>
    <w:rsid w:val="00D741C2"/>
    <w:rsid w:val="00D80ECC"/>
    <w:rsid w:val="00DA27CA"/>
    <w:rsid w:val="00DA2837"/>
    <w:rsid w:val="00DC41C4"/>
    <w:rsid w:val="00DC480C"/>
    <w:rsid w:val="00DD5946"/>
    <w:rsid w:val="00EA762F"/>
    <w:rsid w:val="00EB3F74"/>
    <w:rsid w:val="00EC13D7"/>
    <w:rsid w:val="00ED5178"/>
    <w:rsid w:val="00F06400"/>
    <w:rsid w:val="00F23F3B"/>
    <w:rsid w:val="00F63BD1"/>
    <w:rsid w:val="00F6681B"/>
    <w:rsid w:val="00FB201A"/>
    <w:rsid w:val="00FC49B2"/>
    <w:rsid w:val="00FD0634"/>
    <w:rsid w:val="00FF33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3E"/>
    <w:pPr>
      <w:ind w:left="720"/>
      <w:contextualSpacing/>
    </w:pPr>
  </w:style>
  <w:style w:type="paragraph" w:styleId="Footer">
    <w:name w:val="footer"/>
    <w:basedOn w:val="Normal"/>
    <w:link w:val="FooterChar"/>
    <w:uiPriority w:val="99"/>
    <w:unhideWhenUsed/>
    <w:rsid w:val="00403C61"/>
    <w:pPr>
      <w:tabs>
        <w:tab w:val="center" w:pos="4320"/>
        <w:tab w:val="right" w:pos="8640"/>
      </w:tabs>
    </w:pPr>
  </w:style>
  <w:style w:type="character" w:customStyle="1" w:styleId="FooterChar">
    <w:name w:val="Footer Char"/>
    <w:basedOn w:val="DefaultParagraphFont"/>
    <w:link w:val="Footer"/>
    <w:uiPriority w:val="99"/>
    <w:rsid w:val="00403C61"/>
  </w:style>
  <w:style w:type="character" w:styleId="PageNumber">
    <w:name w:val="page number"/>
    <w:basedOn w:val="DefaultParagraphFont"/>
    <w:uiPriority w:val="99"/>
    <w:semiHidden/>
    <w:unhideWhenUsed/>
    <w:rsid w:val="00403C61"/>
  </w:style>
  <w:style w:type="character" w:styleId="Hyperlink">
    <w:name w:val="Hyperlink"/>
    <w:basedOn w:val="DefaultParagraphFont"/>
    <w:uiPriority w:val="99"/>
    <w:unhideWhenUsed/>
    <w:rsid w:val="00767B63"/>
    <w:rPr>
      <w:color w:val="0000FF" w:themeColor="hyperlink"/>
      <w:u w:val="single"/>
    </w:rPr>
  </w:style>
  <w:style w:type="character" w:styleId="FollowedHyperlink">
    <w:name w:val="FollowedHyperlink"/>
    <w:basedOn w:val="DefaultParagraphFont"/>
    <w:uiPriority w:val="99"/>
    <w:semiHidden/>
    <w:unhideWhenUsed/>
    <w:rsid w:val="00661E4E"/>
    <w:rPr>
      <w:color w:val="800080" w:themeColor="followedHyperlink"/>
      <w:u w:val="single"/>
    </w:rPr>
  </w:style>
  <w:style w:type="paragraph" w:styleId="NormalWeb">
    <w:name w:val="Normal (Web)"/>
    <w:basedOn w:val="Normal"/>
    <w:uiPriority w:val="99"/>
    <w:semiHidden/>
    <w:unhideWhenUsed/>
    <w:rsid w:val="0027387F"/>
    <w:pPr>
      <w:spacing w:before="100" w:beforeAutospacing="1" w:after="100" w:afterAutospacing="1"/>
    </w:pPr>
    <w:rPr>
      <w:rFonts w:ascii="Times New Roman" w:eastAsia="Times New Roman" w:hAnsi="Times New Roman" w:cs="Times New Roman"/>
      <w:lang w:val="el-GR" w:eastAsia="el-GR"/>
    </w:rPr>
  </w:style>
  <w:style w:type="character" w:styleId="Strong">
    <w:name w:val="Strong"/>
    <w:basedOn w:val="DefaultParagraphFont"/>
    <w:uiPriority w:val="22"/>
    <w:qFormat/>
    <w:rsid w:val="00933689"/>
    <w:rPr>
      <w:b/>
      <w:bCs/>
    </w:rPr>
  </w:style>
  <w:style w:type="character" w:styleId="Emphasis">
    <w:name w:val="Emphasis"/>
    <w:basedOn w:val="DefaultParagraphFont"/>
    <w:uiPriority w:val="20"/>
    <w:qFormat/>
    <w:rsid w:val="00933689"/>
    <w:rPr>
      <w:i/>
      <w:iCs/>
    </w:rPr>
  </w:style>
  <w:style w:type="paragraph" w:styleId="Header">
    <w:name w:val="header"/>
    <w:basedOn w:val="Normal"/>
    <w:link w:val="HeaderChar"/>
    <w:uiPriority w:val="99"/>
    <w:unhideWhenUsed/>
    <w:rsid w:val="007257D0"/>
    <w:pPr>
      <w:tabs>
        <w:tab w:val="center" w:pos="4153"/>
        <w:tab w:val="right" w:pos="8306"/>
      </w:tabs>
    </w:pPr>
  </w:style>
  <w:style w:type="character" w:customStyle="1" w:styleId="HeaderChar">
    <w:name w:val="Header Char"/>
    <w:basedOn w:val="DefaultParagraphFont"/>
    <w:link w:val="Header"/>
    <w:uiPriority w:val="99"/>
    <w:rsid w:val="007257D0"/>
  </w:style>
  <w:style w:type="paragraph" w:styleId="BalloonText">
    <w:name w:val="Balloon Text"/>
    <w:basedOn w:val="Normal"/>
    <w:link w:val="BalloonTextChar"/>
    <w:uiPriority w:val="99"/>
    <w:semiHidden/>
    <w:unhideWhenUsed/>
    <w:rsid w:val="00D741C2"/>
    <w:rPr>
      <w:rFonts w:ascii="Tahoma" w:hAnsi="Tahoma" w:cs="Tahoma"/>
      <w:sz w:val="16"/>
      <w:szCs w:val="16"/>
    </w:rPr>
  </w:style>
  <w:style w:type="character" w:customStyle="1" w:styleId="BalloonTextChar">
    <w:name w:val="Balloon Text Char"/>
    <w:basedOn w:val="DefaultParagraphFont"/>
    <w:link w:val="BalloonText"/>
    <w:uiPriority w:val="99"/>
    <w:semiHidden/>
    <w:rsid w:val="00D741C2"/>
    <w:rPr>
      <w:rFonts w:ascii="Tahoma" w:hAnsi="Tahoma" w:cs="Tahoma"/>
      <w:sz w:val="16"/>
      <w:szCs w:val="16"/>
    </w:rPr>
  </w:style>
  <w:style w:type="character" w:styleId="CommentReference">
    <w:name w:val="annotation reference"/>
    <w:basedOn w:val="DefaultParagraphFont"/>
    <w:uiPriority w:val="99"/>
    <w:semiHidden/>
    <w:unhideWhenUsed/>
    <w:rsid w:val="0029625B"/>
    <w:rPr>
      <w:sz w:val="16"/>
      <w:szCs w:val="16"/>
    </w:rPr>
  </w:style>
  <w:style w:type="paragraph" w:styleId="CommentText">
    <w:name w:val="annotation text"/>
    <w:basedOn w:val="Normal"/>
    <w:link w:val="CommentTextChar"/>
    <w:uiPriority w:val="99"/>
    <w:semiHidden/>
    <w:unhideWhenUsed/>
    <w:rsid w:val="0029625B"/>
    <w:rPr>
      <w:sz w:val="20"/>
      <w:szCs w:val="20"/>
    </w:rPr>
  </w:style>
  <w:style w:type="character" w:customStyle="1" w:styleId="CommentTextChar">
    <w:name w:val="Comment Text Char"/>
    <w:basedOn w:val="DefaultParagraphFont"/>
    <w:link w:val="CommentText"/>
    <w:uiPriority w:val="99"/>
    <w:semiHidden/>
    <w:rsid w:val="0029625B"/>
    <w:rPr>
      <w:sz w:val="20"/>
      <w:szCs w:val="20"/>
    </w:rPr>
  </w:style>
  <w:style w:type="paragraph" w:styleId="CommentSubject">
    <w:name w:val="annotation subject"/>
    <w:basedOn w:val="CommentText"/>
    <w:next w:val="CommentText"/>
    <w:link w:val="CommentSubjectChar"/>
    <w:uiPriority w:val="99"/>
    <w:semiHidden/>
    <w:unhideWhenUsed/>
    <w:rsid w:val="0029625B"/>
    <w:rPr>
      <w:b/>
      <w:bCs/>
    </w:rPr>
  </w:style>
  <w:style w:type="character" w:customStyle="1" w:styleId="CommentSubjectChar">
    <w:name w:val="Comment Subject Char"/>
    <w:basedOn w:val="CommentTextChar"/>
    <w:link w:val="CommentSubject"/>
    <w:uiPriority w:val="99"/>
    <w:semiHidden/>
    <w:rsid w:val="0029625B"/>
    <w:rPr>
      <w:b/>
      <w:bCs/>
      <w:sz w:val="20"/>
      <w:szCs w:val="20"/>
    </w:rPr>
  </w:style>
  <w:style w:type="paragraph" w:customStyle="1" w:styleId="xmsonormal">
    <w:name w:val="x_msonormal"/>
    <w:basedOn w:val="Normal"/>
    <w:rsid w:val="00475F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7605194">
      <w:bodyDiv w:val="1"/>
      <w:marLeft w:val="0"/>
      <w:marRight w:val="0"/>
      <w:marTop w:val="0"/>
      <w:marBottom w:val="0"/>
      <w:divBdr>
        <w:top w:val="none" w:sz="0" w:space="0" w:color="auto"/>
        <w:left w:val="none" w:sz="0" w:space="0" w:color="auto"/>
        <w:bottom w:val="none" w:sz="0" w:space="0" w:color="auto"/>
        <w:right w:val="none" w:sz="0" w:space="0" w:color="auto"/>
      </w:divBdr>
    </w:div>
    <w:div w:id="696200595">
      <w:bodyDiv w:val="1"/>
      <w:marLeft w:val="0"/>
      <w:marRight w:val="0"/>
      <w:marTop w:val="0"/>
      <w:marBottom w:val="0"/>
      <w:divBdr>
        <w:top w:val="none" w:sz="0" w:space="0" w:color="auto"/>
        <w:left w:val="none" w:sz="0" w:space="0" w:color="auto"/>
        <w:bottom w:val="none" w:sz="0" w:space="0" w:color="auto"/>
        <w:right w:val="none" w:sz="0" w:space="0" w:color="auto"/>
      </w:divBdr>
      <w:divsChild>
        <w:div w:id="1322390036">
          <w:marLeft w:val="0"/>
          <w:marRight w:val="0"/>
          <w:marTop w:val="330"/>
          <w:marBottom w:val="0"/>
          <w:divBdr>
            <w:top w:val="none" w:sz="0" w:space="0" w:color="auto"/>
            <w:left w:val="none" w:sz="0" w:space="0" w:color="auto"/>
            <w:bottom w:val="none" w:sz="0" w:space="0" w:color="auto"/>
            <w:right w:val="none" w:sz="0" w:space="0" w:color="auto"/>
          </w:divBdr>
          <w:divsChild>
            <w:div w:id="14359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4786">
      <w:bodyDiv w:val="1"/>
      <w:marLeft w:val="0"/>
      <w:marRight w:val="0"/>
      <w:marTop w:val="0"/>
      <w:marBottom w:val="0"/>
      <w:divBdr>
        <w:top w:val="none" w:sz="0" w:space="0" w:color="auto"/>
        <w:left w:val="none" w:sz="0" w:space="0" w:color="auto"/>
        <w:bottom w:val="none" w:sz="0" w:space="0" w:color="auto"/>
        <w:right w:val="none" w:sz="0" w:space="0" w:color="auto"/>
      </w:divBdr>
      <w:divsChild>
        <w:div w:id="2007513083">
          <w:marLeft w:val="0"/>
          <w:marRight w:val="0"/>
          <w:marTop w:val="0"/>
          <w:marBottom w:val="0"/>
          <w:divBdr>
            <w:top w:val="none" w:sz="0" w:space="0" w:color="auto"/>
            <w:left w:val="none" w:sz="0" w:space="0" w:color="auto"/>
            <w:bottom w:val="none" w:sz="0" w:space="0" w:color="auto"/>
            <w:right w:val="none" w:sz="0" w:space="0" w:color="auto"/>
          </w:divBdr>
        </w:div>
        <w:div w:id="11084760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lopublications.eu/europeanpolitei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4305-25ED-4AB4-BF2C-4A2BBA82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6292</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Scandamis</dc:creator>
  <cp:lastModifiedBy>Sandra Manioudaki</cp:lastModifiedBy>
  <cp:revision>2</cp:revision>
  <cp:lastPrinted>2016-02-09T17:15:00Z</cp:lastPrinted>
  <dcterms:created xsi:type="dcterms:W3CDTF">2019-01-03T12:59:00Z</dcterms:created>
  <dcterms:modified xsi:type="dcterms:W3CDTF">2019-01-03T12:59:00Z</dcterms:modified>
</cp:coreProperties>
</file>